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jc w:val="center"/>
        <w:rPr>
          <w:rFonts w:ascii="黑体" w:hAnsi="黑体" w:eastAsia="黑体"/>
          <w:b/>
          <w:color w:val="FF0000"/>
          <w:sz w:val="96"/>
          <w:szCs w:val="96"/>
        </w:rPr>
      </w:pPr>
      <w:r>
        <w:rPr>
          <w:rFonts w:hint="eastAsia" w:ascii="黑体" w:hAnsi="黑体" w:eastAsia="黑体"/>
          <w:b/>
          <w:color w:val="FF0000"/>
          <w:sz w:val="96"/>
          <w:szCs w:val="96"/>
        </w:rPr>
        <w:t>法院工作简报</w:t>
      </w:r>
    </w:p>
    <w:p>
      <w:pPr>
        <w:spacing w:line="600" w:lineRule="exact"/>
        <w:jc w:val="center"/>
        <w:rPr>
          <w:b/>
          <w:sz w:val="36"/>
          <w:szCs w:val="36"/>
        </w:rPr>
      </w:pPr>
    </w:p>
    <w:p>
      <w:pPr>
        <w:jc w:val="center"/>
        <w:rPr>
          <w:b/>
          <w:sz w:val="32"/>
          <w:szCs w:val="32"/>
        </w:rPr>
      </w:pPr>
      <w:r>
        <w:rPr>
          <w:rFonts w:hint="eastAsia"/>
          <w:b/>
          <w:sz w:val="32"/>
          <w:szCs w:val="32"/>
        </w:rPr>
        <w:t>第五十</w:t>
      </w:r>
      <w:r>
        <w:rPr>
          <w:rFonts w:hint="eastAsia"/>
          <w:b/>
          <w:sz w:val="32"/>
          <w:szCs w:val="32"/>
          <w:lang w:val="en-US" w:eastAsia="zh-CN"/>
        </w:rPr>
        <w:t>六</w:t>
      </w:r>
      <w:r>
        <w:rPr>
          <w:rFonts w:hint="eastAsia"/>
          <w:b/>
          <w:sz w:val="32"/>
          <w:szCs w:val="32"/>
        </w:rPr>
        <w:t>期</w:t>
      </w:r>
    </w:p>
    <w:p>
      <w:pPr>
        <w:spacing w:line="200" w:lineRule="exact"/>
        <w:jc w:val="center"/>
        <w:rPr>
          <w:b/>
          <w:sz w:val="36"/>
          <w:szCs w:val="36"/>
        </w:rPr>
      </w:pPr>
    </w:p>
    <w:p>
      <w:pPr>
        <w:rPr>
          <w:b/>
          <w:sz w:val="30"/>
          <w:szCs w:val="30"/>
        </w:rPr>
      </w:pPr>
      <w:r>
        <w:rPr>
          <w:rFonts w:hint="eastAsia"/>
          <w:b/>
          <w:sz w:val="30"/>
          <w:szCs w:val="30"/>
        </w:rPr>
        <w:t>农安县人民法院编</w:t>
      </w:r>
      <w:r>
        <w:rPr>
          <w:b/>
          <w:sz w:val="30"/>
          <w:szCs w:val="30"/>
        </w:rPr>
        <w:t xml:space="preserve">                       20</w:t>
      </w:r>
      <w:r>
        <w:rPr>
          <w:rFonts w:hint="eastAsia"/>
          <w:b/>
          <w:sz w:val="30"/>
          <w:szCs w:val="30"/>
        </w:rPr>
        <w:t>22年</w:t>
      </w:r>
      <w:r>
        <w:rPr>
          <w:rFonts w:hint="eastAsia"/>
          <w:b/>
          <w:sz w:val="30"/>
          <w:szCs w:val="30"/>
          <w:lang w:val="en-US" w:eastAsia="zh-CN"/>
        </w:rPr>
        <w:t>10</w:t>
      </w:r>
      <w:r>
        <w:rPr>
          <w:rFonts w:hint="eastAsia"/>
          <w:b/>
          <w:sz w:val="30"/>
          <w:szCs w:val="30"/>
        </w:rPr>
        <w:t>月</w:t>
      </w:r>
      <w:r>
        <w:rPr>
          <w:rFonts w:hint="eastAsia"/>
          <w:b/>
          <w:sz w:val="30"/>
          <w:szCs w:val="30"/>
          <w:lang w:val="en-US" w:eastAsia="zh-CN"/>
        </w:rPr>
        <w:t>08</w:t>
      </w:r>
      <w:r>
        <w:rPr>
          <w:rFonts w:hint="eastAsia"/>
          <w:b/>
          <w:sz w:val="30"/>
          <w:szCs w:val="30"/>
        </w:rPr>
        <w:t>日</w:t>
      </w:r>
    </w:p>
    <w:p>
      <w:pPr>
        <w:pStyle w:val="10"/>
        <w:spacing w:line="480" w:lineRule="exact"/>
        <w:jc w:val="center"/>
        <w:rPr>
          <w:rFonts w:asciiTheme="majorEastAsia" w:hAnsiTheme="majorEastAsia" w:eastAsiaTheme="majorEastAsia" w:cstheme="majorEastAsia"/>
          <w:b/>
          <w:bCs/>
          <w:sz w:val="44"/>
          <w:szCs w:val="44"/>
        </w:rPr>
      </w:pPr>
      <w:r>
        <w:rPr>
          <w:rFonts w:asciiTheme="majorEastAsia" w:hAnsiTheme="majorEastAsia" w:eastAsiaTheme="majorEastAsia" w:cstheme="majorEastAsia"/>
          <w:b/>
          <w:bCs/>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2540"/>
                <wp:effectExtent l="0" t="17145" r="0" b="18415"/>
                <wp:wrapNone/>
                <wp:docPr id="2" name="直接连接符 1"/>
                <wp:cNvGraphicFramePr/>
                <a:graphic xmlns:a="http://schemas.openxmlformats.org/drawingml/2006/main">
                  <a:graphicData uri="http://schemas.microsoft.com/office/word/2010/wordprocessingShape">
                    <wps:wsp>
                      <wps:cNvCnPr/>
                      <wps:spPr>
                        <a:xfrm>
                          <a:off x="0" y="0"/>
                          <a:ext cx="5257800" cy="2540"/>
                        </a:xfrm>
                        <a:prstGeom prst="line">
                          <a:avLst/>
                        </a:prstGeom>
                        <a:ln w="34925" cap="flat" cmpd="sng">
                          <a:solidFill>
                            <a:srgbClr val="FF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0pt;margin-top:0pt;height:0.2pt;width:414pt;z-index:251659264;mso-width-relative:page;mso-height-relative:page;" filled="f" stroked="t" coordsize="21600,21600" o:gfxdata="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zsLVtQAAAACAQAADwAAAAAAAAABACAAAAAiAAAAZHJzL2Rvd25y&#10;ZXYueG1sUEsBAhQAFAAAAAgAh07iQIhFewwCAgAA9gMAAA4AAAAAAAAAAQAgAAAAIwEAAGRycy9l&#10;Mm9Eb2MueG1sUEsFBgAAAAAGAAYAWQEAAJcFAAAAAA==&#10;">
                <v:fill on="f" focussize="0,0"/>
                <v:stroke weight="2.75pt" color="#FF0000" joinstyle="round"/>
                <v:imagedata o:title=""/>
                <o:lock v:ext="edit" aspectratio="f"/>
              </v:line>
            </w:pict>
          </mc:Fallback>
        </mc:AlternateConten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宋体" w:hAnsi="宋体" w:cs="宋体"/>
          <w:b/>
          <w:bCs/>
          <w:sz w:val="44"/>
          <w:szCs w:val="44"/>
        </w:rPr>
      </w:pPr>
      <w:r>
        <w:rPr>
          <w:rFonts w:hint="eastAsia" w:ascii="宋体" w:hAnsi="宋体" w:cs="宋体"/>
          <w:b/>
          <w:bCs/>
          <w:sz w:val="44"/>
          <w:szCs w:val="44"/>
        </w:rPr>
        <w:t>大力推进智慧法院建设</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ind w:firstLine="0" w:firstLineChars="0"/>
        <w:jc w:val="center"/>
        <w:textAlignment w:val="auto"/>
        <w:rPr>
          <w:rFonts w:hint="eastAsia" w:ascii="宋体" w:hAnsi="宋体" w:cs="宋体"/>
          <w:b/>
          <w:bCs/>
          <w:sz w:val="44"/>
          <w:szCs w:val="44"/>
        </w:rPr>
      </w:pPr>
      <w:bookmarkStart w:id="0" w:name="_GoBack"/>
      <w:r>
        <w:rPr>
          <w:rFonts w:hint="eastAsia" w:ascii="宋体" w:hAnsi="宋体" w:cs="宋体"/>
          <w:b/>
          <w:bCs/>
          <w:sz w:val="44"/>
          <w:szCs w:val="44"/>
        </w:rPr>
        <w:t>让办案更高效 服务更周到</w:t>
      </w:r>
    </w:p>
    <w:bookmarkEnd w:id="0"/>
    <w:p>
      <w:pPr>
        <w:pStyle w:val="7"/>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近年来，农安法院积极落实省高院提出的“抓应用、填空白、补短板、深融合”智慧法院建设方针，坚持以信息化促进审判体系和审判能力现代化，不断推进信息化技术与审判执行工作深度融合，尽最大努力打通法院与群众间“最后一公里”，实现“让信息多跑路、群众少跑腿”，切实增强人民群众对智慧法院建设的获得感。</w:t>
      </w:r>
    </w:p>
    <w:p>
      <w:pPr>
        <w:pStyle w:val="7"/>
        <w:spacing w:before="0" w:beforeAutospacing="0" w:after="0" w:afterAutospacing="0"/>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一、以服务群众为原则，搭建便民诉讼服务系统</w:t>
      </w:r>
    </w:p>
    <w:p>
      <w:pPr>
        <w:pStyle w:val="7"/>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集成建设诉讼服务中心。2019年开始，我院顺应人民群众多元司法需求，以“智能化、规范化、集约化、便民化”为原则，对诉讼服务中心进行提档升级。经过改造后的诉讼服务中心重新布局了智能化自助服务区，设置了智能诉讼综合柜员机、综合便民终端、智能查询一体机、综合智能柜等设施，集合立案登记、自助缴费、材料转交、查询等全程一站式自助诉讼服务功能，人工服务可替代率达到70%。</w:t>
      </w:r>
    </w:p>
    <w:p>
      <w:pPr>
        <w:pStyle w:val="7"/>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不断完善网上诉讼服务体系。我院以智慧法院建设为契机，积极倡导“指尖诉讼”，全面推行“吉林微法院”、律师服务平台、人民法院调解平台，搭建全业务流程“一站式”诉讼服务矩阵平台，为群众提供全方位、全天候的多种诉讼服务，满足群众多元化司法需求。通过该服务矩阵，当事人可以实现网上立案、跨域立案、电子送达、在线调解、网上缴费等功能，让诉讼服务“家中办”“掌上办”成为新常态。</w:t>
      </w:r>
    </w:p>
    <w:p>
      <w:pPr>
        <w:pStyle w:val="7"/>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扎实推进四大公开平台建设。依托中国裁判文书网、审判流程公开网、中国庭审公开网、执行信息公开网，大力推进审判流程、庭审直播、裁判文书和执行信息四大司法公开平台建设。当事人通过四大公开平台，能够随时知晓本人案件从立案、开庭、结案、执行所有环节的相关信息，依法保障保证当事人的涉诉权利。同时，加强信息化综合运用，利用法院官方网站、微博、微信、户外大型LED屏幕等方式，将法院审判业务、工作流程、工作动态主动向社会公布，实现公开、透明。</w:t>
      </w:r>
    </w:p>
    <w:p>
      <w:pPr>
        <w:pStyle w:val="7"/>
        <w:spacing w:before="0" w:beforeAutospacing="0" w:after="0" w:afterAutospacing="0"/>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二、以服务审判为原则，搭建高效审判执行系统</w:t>
      </w:r>
    </w:p>
    <w:p>
      <w:pPr>
        <w:pStyle w:val="7"/>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积极适配审判办公系统。为加强对审判工作的监督管理，增强对审判工作的宏观把握，在省高院搭建的三级法院联网的信息交流平台基础上，我院将所有业务办公系统全面接入，涵盖司法办案、审判管理、司法鉴定、政务管理、队伍管理、审判辅助、后勤保障等信息系统，全面规范审判、办公流程，实现了日常业务一网通办。同时，充分利用强大的数据处理能力、快捷的传输速度、方便的数据查询功能、智能化的决策支持等功能提高干警审判、办公效率。</w:t>
      </w:r>
    </w:p>
    <w:p>
      <w:pPr>
        <w:pStyle w:val="7"/>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高效搭建执行指挥中心。以全国法院统一分级部署的指挥调度系统为基础，完成了具有农安法院特色的执行指挥中心平台建设，平台融合了执行指挥中心基础支撑系统和高清视频会议系统，深度对接执行案件流程节点管理系统、执行案款管理等系统，搭挂我院与银行、住建等部门的查询专线，形成了一个集指挥调度、远程查控、案件流水化作业的综合系统。通过指挥中心，可以及时掌握了解外勤执行干警执行过程并结合实战需求进行调度指挥，实现司法查控、执行通知、繁简分流等执行业务事项集约化处理，提供统一和集中的数据交互共享服务，满足法院日常工作及各类紧急状况所需要的指挥能力，为领导的业务督导、执行指挥、应急指挥和决策分析提供技术支持。</w:t>
      </w:r>
    </w:p>
    <w:p>
      <w:pPr>
        <w:pStyle w:val="7"/>
        <w:spacing w:before="0" w:beforeAutospacing="0" w:after="0" w:afterAutospacing="0"/>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三、以服务管理为原则，搭建智能司法管理系统</w:t>
      </w:r>
    </w:p>
    <w:p>
      <w:pPr>
        <w:pStyle w:val="2"/>
        <w:ind w:firstLine="640"/>
        <w:rPr>
          <w:rFonts w:hint="eastAsia" w:ascii="仿宋" w:hAnsi="仿宋" w:eastAsia="仿宋" w:cs="仿宋"/>
          <w:sz w:val="32"/>
          <w:szCs w:val="32"/>
        </w:rPr>
      </w:pPr>
      <w:r>
        <w:rPr>
          <w:rFonts w:hint="eastAsia" w:ascii="仿宋" w:hAnsi="仿宋" w:eastAsia="仿宋" w:cs="仿宋"/>
          <w:sz w:val="32"/>
          <w:szCs w:val="32"/>
        </w:rPr>
        <w:t>（一）全面覆盖科技法庭。目前已经建设有科技法庭13套，用现代化装备和科技手段武装起来的审判法庭，全方位实现庭审音视频全程记录、庭审音视频实况直播、庭审举证的全程记录，并实现证据展示的自动化、网络化，同时可以实现案件的多媒体证据展示和庭审音视频信息的采集与应用，为远程提讯、远程庭审举证等应用奠定基础。为所有法庭配备了笔记本电脑和外网，方便网上开庭。</w:t>
      </w:r>
    </w:p>
    <w:p>
      <w:pPr>
        <w:pStyle w:val="2"/>
        <w:ind w:firstLine="640"/>
        <w:rPr>
          <w:rFonts w:hint="eastAsia" w:ascii="仿宋" w:hAnsi="仿宋" w:eastAsia="仿宋" w:cs="仿宋"/>
          <w:sz w:val="32"/>
          <w:szCs w:val="32"/>
        </w:rPr>
      </w:pPr>
      <w:r>
        <w:rPr>
          <w:rFonts w:hint="eastAsia" w:ascii="仿宋" w:hAnsi="仿宋" w:eastAsia="仿宋" w:cs="仿宋"/>
          <w:sz w:val="32"/>
          <w:szCs w:val="32"/>
        </w:rPr>
        <w:t>（二）全面覆盖立体化安保。以法庭和庭审安全作为工作重点，建立”立体化安保“信息网络，对院机关和人民法庭覆盖建设共计180个监控摄像头和相关设备的警务保障平台，实现对全院及人民法庭等重点区域的保障指挥、押解指挥、安保防范、出入管控、调警管理等24小时应急处突保障。</w:t>
      </w:r>
    </w:p>
    <w:p>
      <w:pPr>
        <w:pStyle w:val="2"/>
        <w:ind w:firstLine="640"/>
        <w:rPr>
          <w:rFonts w:hint="eastAsia" w:ascii="仿宋" w:hAnsi="仿宋" w:eastAsia="仿宋" w:cs="仿宋"/>
          <w:sz w:val="32"/>
          <w:szCs w:val="32"/>
        </w:rPr>
      </w:pPr>
      <w:r>
        <w:rPr>
          <w:rFonts w:hint="eastAsia" w:ascii="仿宋" w:hAnsi="仿宋" w:eastAsia="仿宋" w:cs="仿宋"/>
          <w:sz w:val="32"/>
          <w:szCs w:val="32"/>
        </w:rPr>
        <w:t>（三）全面覆盖数字化档案。由智审辅助中心负责对库存档案的数字化扫描，全面完成了对库存诉讼档案的数字化处理，并挂接到办公办案系统，电子档案与纸质档案全部达到上级要求的归卷标准，极大地方便了审判人员及当事人查阅利用，年均档案查询利用2000余人次。2021年，全面铺开建设溯源全业务链条的数字档案中间库，做到在立案环节集中扫描案件所有材料，通过智能编目形成电子卷宗进行内部流转，审判人员全程无需接触纸质材料，即可实现案卷的即时传输、按需查阅。档案材料入库过程标准化，最大限度地保证入库档案的安全性和可溯源性。</w:t>
      </w:r>
    </w:p>
    <w:p>
      <w:pPr>
        <w:pStyle w:val="2"/>
        <w:ind w:firstLine="640"/>
        <w:rPr>
          <w:rFonts w:ascii="仿宋" w:hAnsi="仿宋" w:eastAsia="仿宋" w:cs="仿宋"/>
          <w:sz w:val="32"/>
          <w:szCs w:val="32"/>
        </w:rPr>
      </w:pPr>
      <w:r>
        <w:rPr>
          <w:rFonts w:hint="eastAsia" w:ascii="仿宋" w:hAnsi="仿宋" w:eastAsia="仿宋" w:cs="仿宋"/>
          <w:sz w:val="32"/>
          <w:szCs w:val="32"/>
        </w:rPr>
        <w:t>下一步，农安法院将在上级法院指导下，以全面推进审判体系和审判能力现代化为目标，继续深化应用体系建设，进一步完善全业务全流程融合应用体系，推动智慧法院支持多元解纷、诉讼服务、审判执行、司法管理、司法决策等能力水平实现新的跃升，切实让人民群众充分感受到信息化建设带来的获得感和幸福感，为迎接二十大胜利召开营造良好法治环境。</w:t>
      </w:r>
    </w:p>
    <w:p>
      <w:pPr>
        <w:pStyle w:val="2"/>
        <w:ind w:firstLine="640"/>
        <w:rPr>
          <w:rFonts w:ascii="仿宋" w:hAnsi="仿宋" w:eastAsia="仿宋" w:cs="仿宋"/>
          <w:sz w:val="32"/>
          <w:szCs w:val="32"/>
        </w:rPr>
      </w:pPr>
    </w:p>
    <w:p>
      <w:pPr>
        <w:pStyle w:val="2"/>
        <w:ind w:firstLine="640"/>
        <w:rPr>
          <w:rFonts w:ascii="仿宋" w:hAnsi="仿宋" w:eastAsia="仿宋" w:cs="仿宋"/>
          <w:sz w:val="32"/>
          <w:szCs w:val="32"/>
        </w:rPr>
      </w:pPr>
    </w:p>
    <w:p>
      <w:pPr>
        <w:pStyle w:val="2"/>
        <w:ind w:firstLine="640"/>
        <w:rPr>
          <w:rFonts w:ascii="仿宋" w:hAnsi="仿宋" w:eastAsia="仿宋" w:cs="仿宋"/>
          <w:sz w:val="32"/>
          <w:szCs w:val="32"/>
        </w:rPr>
      </w:pPr>
    </w:p>
    <w:p>
      <w:pPr>
        <w:pStyle w:val="2"/>
        <w:ind w:firstLine="640"/>
        <w:rPr>
          <w:rFonts w:ascii="仿宋" w:hAnsi="仿宋" w:eastAsia="仿宋" w:cs="仿宋"/>
          <w:sz w:val="32"/>
          <w:szCs w:val="32"/>
        </w:rPr>
      </w:pPr>
    </w:p>
    <w:p>
      <w:pPr>
        <w:pStyle w:val="2"/>
        <w:ind w:left="0" w:leftChars="0" w:firstLine="0" w:firstLineChars="0"/>
        <w:rPr>
          <w:rFonts w:ascii="仿宋" w:hAnsi="仿宋" w:eastAsia="仿宋" w:cs="仿宋"/>
          <w:sz w:val="32"/>
          <w:szCs w:val="32"/>
        </w:rPr>
      </w:pPr>
    </w:p>
    <w:p>
      <w:pPr>
        <w:pStyle w:val="2"/>
        <w:ind w:firstLine="0" w:firstLineChars="0"/>
        <w:rPr>
          <w:rFonts w:ascii="仿宋" w:hAnsi="仿宋" w:eastAsia="仿宋" w:cs="仿宋"/>
          <w:sz w:val="32"/>
          <w:szCs w:val="32"/>
        </w:rPr>
      </w:pPr>
    </w:p>
    <w:p>
      <w:pPr>
        <w:pStyle w:val="2"/>
        <w:ind w:firstLine="0" w:firstLineChars="0"/>
        <w:rPr>
          <w:rFonts w:ascii="仿宋" w:hAnsi="仿宋" w:eastAsia="仿宋" w:cs="仿宋"/>
          <w:sz w:val="32"/>
          <w:szCs w:val="32"/>
        </w:rPr>
      </w:pPr>
    </w:p>
    <w:p>
      <w:pPr>
        <w:pStyle w:val="2"/>
        <w:ind w:firstLine="0" w:firstLineChars="0"/>
        <w:rPr>
          <w:rFonts w:ascii="仿宋" w:hAnsi="仿宋" w:eastAsia="仿宋" w:cs="仿宋"/>
          <w:sz w:val="32"/>
          <w:szCs w:val="32"/>
        </w:rPr>
      </w:pPr>
    </w:p>
    <w:p>
      <w:pPr>
        <w:pStyle w:val="2"/>
        <w:ind w:firstLine="0" w:firstLineChars="0"/>
        <w:rPr>
          <w:rFonts w:ascii="仿宋" w:hAnsi="仿宋" w:eastAsia="仿宋" w:cs="仿宋"/>
          <w:sz w:val="32"/>
          <w:szCs w:val="32"/>
        </w:rPr>
      </w:pPr>
    </w:p>
    <w:p>
      <w:pPr>
        <w:pStyle w:val="2"/>
        <w:ind w:firstLine="0" w:firstLineChars="0"/>
        <w:rPr>
          <w:rFonts w:ascii="仿宋" w:hAnsi="仿宋" w:eastAsia="仿宋" w:cs="仿宋"/>
          <w:sz w:val="32"/>
          <w:szCs w:val="32"/>
        </w:rPr>
      </w:pPr>
    </w:p>
    <w:p>
      <w:pPr>
        <w:pBdr>
          <w:bottom w:val="single" w:color="auto" w:sz="6" w:space="1"/>
        </w:pBdr>
        <w:rPr>
          <w:rFonts w:ascii="宋体" w:hAnsi="宋体" w:cs="宋体"/>
          <w:color w:val="333333"/>
          <w:sz w:val="32"/>
          <w:szCs w:val="32"/>
        </w:rPr>
      </w:pPr>
    </w:p>
    <w:p>
      <w:pPr>
        <w:pStyle w:val="2"/>
      </w:pPr>
    </w:p>
    <w:p>
      <w:pPr>
        <w:spacing w:line="500" w:lineRule="exact"/>
        <w:rPr>
          <w:rFonts w:ascii="仿宋" w:hAnsi="仿宋" w:eastAsia="仿宋"/>
          <w:sz w:val="32"/>
          <w:szCs w:val="32"/>
        </w:rPr>
      </w:pPr>
      <w:r>
        <w:rPr>
          <w:rFonts w:hint="eastAsia" w:ascii="仿宋" w:hAnsi="仿宋" w:eastAsia="仿宋"/>
          <w:sz w:val="32"/>
          <w:szCs w:val="32"/>
        </w:rPr>
        <w:t>报：市法院、县委、县人大、县政府、县政协、县纪检委、</w:t>
      </w:r>
    </w:p>
    <w:p>
      <w:pPr>
        <w:spacing w:line="500" w:lineRule="exact"/>
        <w:ind w:firstLine="651"/>
        <w:rPr>
          <w:rFonts w:ascii="仿宋" w:hAnsi="仿宋" w:eastAsia="仿宋"/>
          <w:sz w:val="32"/>
          <w:szCs w:val="32"/>
        </w:rPr>
      </w:pPr>
      <w:r>
        <w:rPr>
          <w:rFonts w:hint="eastAsia" w:ascii="仿宋" w:hAnsi="仿宋" w:eastAsia="仿宋"/>
          <w:sz w:val="32"/>
          <w:szCs w:val="32"/>
        </w:rPr>
        <w:t>县委政法委</w:t>
      </w:r>
    </w:p>
    <w:p>
      <w:pPr>
        <w:spacing w:line="500" w:lineRule="exact"/>
        <w:ind w:left="640" w:hanging="640"/>
        <w:rPr>
          <w:rFonts w:ascii="仿宋" w:hAnsi="仿宋" w:eastAsia="仿宋"/>
          <w:sz w:val="32"/>
          <w:szCs w:val="32"/>
        </w:rPr>
      </w:pPr>
      <w:r>
        <w:rPr>
          <w:rFonts w:hint="eastAsia" w:ascii="仿宋" w:hAnsi="仿宋" w:eastAsia="仿宋"/>
          <w:sz w:val="32"/>
          <w:szCs w:val="32"/>
        </w:rPr>
        <w:t>送：县委组织部、宣传部、县直机关党工委、县人大法制办</w:t>
      </w:r>
    </w:p>
    <w:p>
      <w:pPr>
        <w:pBdr>
          <w:bottom w:val="single" w:color="auto" w:sz="6" w:space="1"/>
        </w:pBdr>
        <w:spacing w:line="500" w:lineRule="exact"/>
        <w:rPr>
          <w:rFonts w:ascii="仿宋" w:hAnsi="仿宋" w:eastAsia="仿宋"/>
          <w:sz w:val="32"/>
          <w:szCs w:val="32"/>
        </w:rPr>
      </w:pPr>
      <w:r>
        <w:rPr>
          <w:rFonts w:hint="eastAsia" w:ascii="仿宋" w:hAnsi="仿宋" w:eastAsia="仿宋"/>
          <w:sz w:val="32"/>
          <w:szCs w:val="32"/>
        </w:rPr>
        <w:t>发：本院领导及各部门</w:t>
      </w:r>
    </w:p>
    <w:p>
      <w:pPr>
        <w:spacing w:line="500" w:lineRule="exact"/>
        <w:rPr>
          <w:sz w:val="32"/>
          <w:szCs w:val="32"/>
        </w:rPr>
      </w:pPr>
      <w:r>
        <w:rPr>
          <w:rFonts w:hint="eastAsia" w:ascii="仿宋" w:hAnsi="仿宋" w:eastAsia="仿宋"/>
          <w:sz w:val="32"/>
          <w:szCs w:val="32"/>
        </w:rPr>
        <w:t>农安县人民法院研究室编发                （共印45份）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jYjFhMGQ0MjIyODg1Y2YzN2RkMzEyMTljMjAwMDcifQ=="/>
  </w:docVars>
  <w:rsids>
    <w:rsidRoot w:val="37EE3D54"/>
    <w:rsid w:val="000A6FA2"/>
    <w:rsid w:val="000C7798"/>
    <w:rsid w:val="002F28F2"/>
    <w:rsid w:val="006C51BE"/>
    <w:rsid w:val="007303C4"/>
    <w:rsid w:val="007D3BD6"/>
    <w:rsid w:val="00A45B3E"/>
    <w:rsid w:val="00AE3C8E"/>
    <w:rsid w:val="00D62843"/>
    <w:rsid w:val="00DD47A3"/>
    <w:rsid w:val="022F3B3F"/>
    <w:rsid w:val="0395566A"/>
    <w:rsid w:val="09D7694F"/>
    <w:rsid w:val="0A4725AB"/>
    <w:rsid w:val="0B6760D1"/>
    <w:rsid w:val="0D0F33B3"/>
    <w:rsid w:val="10C05FAC"/>
    <w:rsid w:val="12464E89"/>
    <w:rsid w:val="14A835A6"/>
    <w:rsid w:val="1552177C"/>
    <w:rsid w:val="197A0951"/>
    <w:rsid w:val="1B2A5DA3"/>
    <w:rsid w:val="1CA22FE7"/>
    <w:rsid w:val="1CAE0130"/>
    <w:rsid w:val="1E4E32C0"/>
    <w:rsid w:val="1E9D21AD"/>
    <w:rsid w:val="20B33C68"/>
    <w:rsid w:val="25857ECE"/>
    <w:rsid w:val="27451BE7"/>
    <w:rsid w:val="28173165"/>
    <w:rsid w:val="299D161D"/>
    <w:rsid w:val="29E76B67"/>
    <w:rsid w:val="2CD52454"/>
    <w:rsid w:val="2DA818E9"/>
    <w:rsid w:val="2E550BAE"/>
    <w:rsid w:val="3123750E"/>
    <w:rsid w:val="314A70D9"/>
    <w:rsid w:val="34F506F0"/>
    <w:rsid w:val="37EE3D54"/>
    <w:rsid w:val="387D3BCD"/>
    <w:rsid w:val="3957402E"/>
    <w:rsid w:val="3BB3481B"/>
    <w:rsid w:val="3C6B4B9D"/>
    <w:rsid w:val="3D2D51EA"/>
    <w:rsid w:val="3EA14E0A"/>
    <w:rsid w:val="41EE60C1"/>
    <w:rsid w:val="468B5C88"/>
    <w:rsid w:val="469D4D26"/>
    <w:rsid w:val="496634D8"/>
    <w:rsid w:val="52A37398"/>
    <w:rsid w:val="550167AA"/>
    <w:rsid w:val="55344AA7"/>
    <w:rsid w:val="58766D99"/>
    <w:rsid w:val="5A724BC6"/>
    <w:rsid w:val="5B503AC0"/>
    <w:rsid w:val="5BA66854"/>
    <w:rsid w:val="5BFA158B"/>
    <w:rsid w:val="5CE659AF"/>
    <w:rsid w:val="5F7D0071"/>
    <w:rsid w:val="64744F9B"/>
    <w:rsid w:val="647A63F2"/>
    <w:rsid w:val="65932B18"/>
    <w:rsid w:val="66B0574D"/>
    <w:rsid w:val="67A17142"/>
    <w:rsid w:val="6C360CAD"/>
    <w:rsid w:val="6DB16A77"/>
    <w:rsid w:val="6E691949"/>
    <w:rsid w:val="6E9713F1"/>
    <w:rsid w:val="6FD6515C"/>
    <w:rsid w:val="71A87F57"/>
    <w:rsid w:val="77946AD3"/>
    <w:rsid w:val="780C75E9"/>
    <w:rsid w:val="78DD6C88"/>
    <w:rsid w:val="7BE873FA"/>
    <w:rsid w:val="7C3C1099"/>
    <w:rsid w:val="7DB97A3E"/>
    <w:rsid w:val="7F8C0E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1"/>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4">
    <w:name w:val="Balloon Text"/>
    <w:basedOn w:val="1"/>
    <w:link w:val="14"/>
    <w:uiPriority w:val="0"/>
    <w:rPr>
      <w:sz w:val="18"/>
      <w:szCs w:val="18"/>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1">
    <w:name w:val="标题 1 Char"/>
    <w:link w:val="3"/>
    <w:qFormat/>
    <w:uiPriority w:val="0"/>
    <w:rPr>
      <w:rFonts w:hint="eastAsia" w:ascii="宋体" w:hAnsi="宋体" w:eastAsia="宋体" w:cs="宋体"/>
      <w:b/>
      <w:bCs/>
      <w:kern w:val="44"/>
      <w:sz w:val="48"/>
      <w:szCs w:val="48"/>
      <w:lang w:val="en-US" w:eastAsia="zh-CN"/>
    </w:rPr>
  </w:style>
  <w:style w:type="character" w:customStyle="1" w:styleId="12">
    <w:name w:val="页眉 Char"/>
    <w:basedOn w:val="9"/>
    <w:link w:val="6"/>
    <w:uiPriority w:val="0"/>
    <w:rPr>
      <w:kern w:val="2"/>
      <w:sz w:val="18"/>
      <w:szCs w:val="18"/>
    </w:rPr>
  </w:style>
  <w:style w:type="character" w:customStyle="1" w:styleId="13">
    <w:name w:val="页脚 Char"/>
    <w:basedOn w:val="9"/>
    <w:link w:val="5"/>
    <w:uiPriority w:val="0"/>
    <w:rPr>
      <w:kern w:val="2"/>
      <w:sz w:val="18"/>
      <w:szCs w:val="18"/>
    </w:rPr>
  </w:style>
  <w:style w:type="character" w:customStyle="1" w:styleId="14">
    <w:name w:val="批注框文本 Char"/>
    <w:basedOn w:val="9"/>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461</Words>
  <Characters>473</Characters>
  <Lines>3</Lines>
  <Paragraphs>1</Paragraphs>
  <TotalTime>64</TotalTime>
  <ScaleCrop>false</ScaleCrop>
  <LinksUpToDate>false</LinksUpToDate>
  <CharactersWithSpaces>513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2022-09-30T06:37:00Z</dcterms:created>
  <dc:creator>1</dc:creator>
  <cp:lastModifiedBy>mptwpd</cp:lastModifiedBy>
  <dcterms:modified xsi:type="dcterms:W3CDTF">2022-10-08T07:54:54Z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A9EF10056AA54E47966BADA85DC222B8</vt:lpwstr>
  </property>
</Properties>
</file>