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新魏" w:eastAsia="华文新魏"/>
          <w:bCs/>
          <w:color w:val="FF0000"/>
          <w:sz w:val="90"/>
          <w:szCs w:val="90"/>
        </w:rPr>
      </w:pPr>
      <w:r>
        <w:rPr>
          <w:rFonts w:hint="eastAsia" w:ascii="华文新魏" w:eastAsia="华文新魏"/>
          <w:bCs/>
          <w:color w:val="FF0000"/>
          <w:sz w:val="90"/>
          <w:szCs w:val="90"/>
        </w:rPr>
        <w:t>吉林省法官培训学院</w:t>
      </w:r>
    </w:p>
    <w:p>
      <w:pPr>
        <w:spacing w:line="360" w:lineRule="auto"/>
        <w:jc w:val="center"/>
        <w:rPr>
          <w:rFonts w:ascii="仿宋" w:hAnsi="仿宋" w:eastAsia="仿宋"/>
          <w:sz w:val="32"/>
          <w:szCs w:val="32"/>
        </w:rPr>
      </w:pPr>
      <w:r>
        <w:pict>
          <v:line id="_x0000_s1026" o:spid="_x0000_s1026" o:spt="20" style="position:absolute;left:0pt;margin-left:-10.95pt;margin-top:30.65pt;height:0pt;width:468pt;z-index:1024;mso-width-relative:page;mso-height-relative:page;" stroked="t" coordsize="21600,21600" o:gfxdata="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NrOF1gAAAAkBAAAPAAAAAAAAAAEAIAAAACIAAABk&#10;cnMvZG93bnJldi54bWxQSwECFAAUAAAACACHTuJAYpK56M8BAABrAwAADgAAAAAAAAABACAAAAAl&#10;AQAAZHJzL2Uyb0RvYy54bWxQSwUGAAAAAAYABgBZAQAAZgUAAAAA&#10;">
            <v:path arrowok="t"/>
            <v:fill focussize="0,0"/>
            <v:stroke weight="2pt" color="#FF0000"/>
            <v:imagedata o:title=""/>
            <o:lock v:ext="edit"/>
          </v:line>
        </w:pict>
      </w:r>
      <w:r>
        <w:rPr>
          <w:rFonts w:hint="eastAsia" w:ascii="仿宋" w:hAnsi="仿宋" w:eastAsia="仿宋"/>
          <w:sz w:val="32"/>
          <w:szCs w:val="32"/>
        </w:rPr>
        <w:t>吉法学〔</w:t>
      </w:r>
      <w:r>
        <w:rPr>
          <w:rFonts w:ascii="仿宋" w:hAnsi="仿宋" w:eastAsia="仿宋"/>
          <w:sz w:val="32"/>
          <w:szCs w:val="32"/>
        </w:rPr>
        <w:t>20</w:t>
      </w:r>
      <w:r>
        <w:rPr>
          <w:rFonts w:hint="eastAsia" w:ascii="仿宋" w:hAnsi="仿宋" w:eastAsia="仿宋"/>
          <w:sz w:val="32"/>
          <w:szCs w:val="32"/>
        </w:rPr>
        <w:t>20〕33号</w:t>
      </w:r>
    </w:p>
    <w:p>
      <w:pPr>
        <w:spacing w:line="360" w:lineRule="auto"/>
        <w:jc w:val="center"/>
        <w:rPr>
          <w:rFonts w:eastAsia="黑体"/>
          <w:sz w:val="36"/>
        </w:rPr>
      </w:pPr>
    </w:p>
    <w:p>
      <w:pPr>
        <w:spacing w:line="360" w:lineRule="auto"/>
        <w:jc w:val="center"/>
        <w:rPr>
          <w:rFonts w:ascii="宋体" w:hAnsi="宋体"/>
          <w:sz w:val="44"/>
          <w:szCs w:val="44"/>
        </w:rPr>
      </w:pPr>
      <w:r>
        <w:rPr>
          <w:rFonts w:hint="eastAsia" w:ascii="宋体" w:hAnsi="宋体"/>
          <w:sz w:val="44"/>
          <w:szCs w:val="44"/>
        </w:rPr>
        <w:t>关于举办全省法院行政审判业务</w:t>
      </w:r>
    </w:p>
    <w:p>
      <w:pPr>
        <w:spacing w:line="360" w:lineRule="auto"/>
        <w:jc w:val="center"/>
        <w:rPr>
          <w:rFonts w:ascii="宋体" w:hAnsi="宋体"/>
          <w:sz w:val="44"/>
          <w:szCs w:val="44"/>
        </w:rPr>
      </w:pPr>
      <w:r>
        <w:rPr>
          <w:rFonts w:hint="eastAsia" w:ascii="宋体" w:hAnsi="宋体"/>
          <w:sz w:val="44"/>
          <w:szCs w:val="44"/>
        </w:rPr>
        <w:t>培训班的通知</w:t>
      </w:r>
    </w:p>
    <w:p>
      <w:pPr>
        <w:spacing w:line="360" w:lineRule="auto"/>
        <w:jc w:val="center"/>
        <w:rPr>
          <w:rFonts w:ascii="宋体"/>
          <w:b/>
          <w:sz w:val="32"/>
        </w:rPr>
      </w:pPr>
    </w:p>
    <w:p>
      <w:pPr>
        <w:pStyle w:val="2"/>
        <w:spacing w:line="360" w:lineRule="auto"/>
        <w:rPr>
          <w:rFonts w:ascii="仿宋" w:hAnsi="仿宋" w:eastAsia="仿宋"/>
          <w:sz w:val="32"/>
          <w:szCs w:val="32"/>
        </w:rPr>
      </w:pPr>
      <w:r>
        <w:rPr>
          <w:rFonts w:hint="eastAsia" w:ascii="仿宋" w:hAnsi="仿宋" w:eastAsia="仿宋"/>
          <w:sz w:val="32"/>
          <w:szCs w:val="32"/>
        </w:rPr>
        <w:t>省法院机关各部门、各中基层法院、各直属专门法院：</w:t>
      </w:r>
    </w:p>
    <w:p>
      <w:pPr>
        <w:pStyle w:val="2"/>
        <w:spacing w:line="360" w:lineRule="auto"/>
        <w:ind w:firstLine="640" w:firstLineChars="200"/>
        <w:rPr>
          <w:rFonts w:ascii="仿宋" w:hAnsi="仿宋" w:eastAsia="仿宋"/>
          <w:sz w:val="32"/>
          <w:szCs w:val="32"/>
        </w:rPr>
      </w:pPr>
      <w:r>
        <w:rPr>
          <w:rFonts w:hint="eastAsia" w:ascii="仿宋" w:hAnsi="仿宋" w:eastAsia="仿宋"/>
          <w:sz w:val="32"/>
          <w:szCs w:val="32"/>
        </w:rPr>
        <w:t>省法官培训学院根据《2020年全省法院教育培训计划》，定于7月14日举办全省法院行政审判业务培训班，现将相关事项通知如下：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一、培训对象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省法院各行政审判庭、各中院及直属法院相关庭室从事行政审判业务法官。</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二、培训方式</w:t>
      </w:r>
    </w:p>
    <w:p>
      <w:pPr>
        <w:tabs>
          <w:tab w:val="left" w:pos="7513"/>
        </w:tabs>
        <w:spacing w:line="360" w:lineRule="auto"/>
        <w:ind w:firstLine="640" w:firstLineChars="200"/>
        <w:rPr>
          <w:rFonts w:ascii="仿宋" w:hAnsi="仿宋" w:eastAsia="仿宋"/>
          <w:sz w:val="32"/>
          <w:szCs w:val="32"/>
        </w:rPr>
      </w:pPr>
      <w:r>
        <w:rPr>
          <w:rFonts w:hint="eastAsia" w:ascii="仿宋" w:hAnsi="仿宋" w:eastAsia="仿宋"/>
          <w:sz w:val="32"/>
          <w:szCs w:val="32"/>
        </w:rPr>
        <w:t>本次培训通过“钉钉”软件网络直播授课。</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三、培训时间</w:t>
      </w:r>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20年7月14日—15日。</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四、培训内容</w:t>
      </w:r>
    </w:p>
    <w:tbl>
      <w:tblPr>
        <w:tblStyle w:val="7"/>
        <w:tblW w:w="8819" w:type="dxa"/>
        <w:tblInd w:w="30" w:type="dxa"/>
        <w:tblLayout w:type="fixed"/>
        <w:tblCellMar>
          <w:top w:w="0" w:type="dxa"/>
          <w:left w:w="30" w:type="dxa"/>
          <w:bottom w:w="0" w:type="dxa"/>
          <w:right w:w="30" w:type="dxa"/>
        </w:tblCellMar>
      </w:tblPr>
      <w:tblGrid>
        <w:gridCol w:w="1023"/>
        <w:gridCol w:w="1843"/>
        <w:gridCol w:w="2835"/>
        <w:gridCol w:w="1134"/>
        <w:gridCol w:w="1984"/>
      </w:tblGrid>
      <w:tr>
        <w:tblPrEx>
          <w:tblCellMar>
            <w:top w:w="0" w:type="dxa"/>
            <w:left w:w="30" w:type="dxa"/>
            <w:bottom w:w="0" w:type="dxa"/>
            <w:right w:w="30" w:type="dxa"/>
          </w:tblCellMar>
        </w:tblPrEx>
        <w:trPr>
          <w:trHeight w:val="890" w:hRule="atLeast"/>
        </w:trPr>
        <w:tc>
          <w:tcPr>
            <w:tcW w:w="1023" w:type="dxa"/>
            <w:tcBorders>
              <w:top w:val="single" w:color="auto" w:sz="6" w:space="0"/>
              <w:left w:val="single" w:color="auto" w:sz="6" w:space="0"/>
              <w:bottom w:val="single" w:color="auto" w:sz="6" w:space="0"/>
              <w:right w:val="single" w:color="auto" w:sz="6" w:space="0"/>
            </w:tcBorders>
            <w:vAlign w:val="center"/>
          </w:tcPr>
          <w:p>
            <w:pPr>
              <w:ind w:left="-61" w:leftChars="-29" w:firstLine="60" w:firstLineChars="25"/>
              <w:jc w:val="center"/>
              <w:rPr>
                <w:rFonts w:ascii="宋体" w:hAnsi="宋体"/>
                <w:bCs/>
                <w:sz w:val="24"/>
              </w:rPr>
            </w:pPr>
            <w:r>
              <w:rPr>
                <w:rFonts w:hint="eastAsia" w:ascii="宋体" w:hAnsi="宋体"/>
                <w:bCs/>
                <w:sz w:val="24"/>
              </w:rPr>
              <w:t>日期</w:t>
            </w: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 w:val="24"/>
              </w:rPr>
            </w:pPr>
            <w:r>
              <w:rPr>
                <w:rFonts w:hint="eastAsia" w:ascii="宋体" w:hAnsi="宋体"/>
                <w:bCs/>
                <w:sz w:val="24"/>
              </w:rPr>
              <w:t>时间</w:t>
            </w: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 w:val="24"/>
              </w:rPr>
            </w:pPr>
            <w:r>
              <w:rPr>
                <w:rFonts w:hint="eastAsia" w:ascii="宋体" w:hAnsi="宋体"/>
                <w:bCs/>
                <w:sz w:val="24"/>
              </w:rPr>
              <w:t>教学内容</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 w:val="24"/>
              </w:rPr>
            </w:pPr>
            <w:r>
              <w:rPr>
                <w:rFonts w:hint="eastAsia" w:ascii="宋体" w:hAnsi="宋体"/>
                <w:bCs/>
                <w:sz w:val="24"/>
              </w:rPr>
              <w:t>主讲人</w:t>
            </w:r>
          </w:p>
        </w:tc>
        <w:tc>
          <w:tcPr>
            <w:tcW w:w="198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 w:val="24"/>
              </w:rPr>
            </w:pPr>
            <w:r>
              <w:rPr>
                <w:rFonts w:hint="eastAsia" w:ascii="宋体" w:hAnsi="宋体"/>
                <w:bCs/>
                <w:sz w:val="24"/>
              </w:rPr>
              <w:t>单位及职务</w:t>
            </w:r>
          </w:p>
        </w:tc>
      </w:tr>
      <w:tr>
        <w:tblPrEx>
          <w:tblCellMar>
            <w:top w:w="0" w:type="dxa"/>
            <w:left w:w="30" w:type="dxa"/>
            <w:bottom w:w="0" w:type="dxa"/>
            <w:right w:w="30" w:type="dxa"/>
          </w:tblCellMar>
        </w:tblPrEx>
        <w:trPr>
          <w:trHeight w:val="932" w:hRule="atLeast"/>
        </w:trPr>
        <w:tc>
          <w:tcPr>
            <w:tcW w:w="1023" w:type="dxa"/>
            <w:vMerge w:val="restart"/>
            <w:tcBorders>
              <w:top w:val="single" w:color="auto" w:sz="6" w:space="0"/>
              <w:left w:val="single" w:color="auto" w:sz="6" w:space="0"/>
              <w:right w:val="single" w:color="auto" w:sz="6" w:space="0"/>
            </w:tcBorders>
            <w:vAlign w:val="center"/>
          </w:tcPr>
          <w:p>
            <w:pPr>
              <w:jc w:val="center"/>
              <w:rPr>
                <w:rFonts w:ascii="宋体" w:hAnsi="宋体"/>
                <w:bCs/>
                <w:sz w:val="24"/>
              </w:rPr>
            </w:pPr>
            <w:r>
              <w:rPr>
                <w:rFonts w:hint="eastAsia" w:ascii="宋体" w:hAnsi="宋体"/>
                <w:bCs/>
                <w:sz w:val="24"/>
              </w:rPr>
              <w:t>14日</w:t>
            </w: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 w:val="24"/>
              </w:rPr>
            </w:pPr>
            <w:r>
              <w:rPr>
                <w:rFonts w:hint="eastAsia" w:ascii="宋体" w:hAnsi="宋体"/>
                <w:bCs/>
                <w:sz w:val="24"/>
              </w:rPr>
              <w:t>上午</w:t>
            </w:r>
          </w:p>
          <w:p>
            <w:pPr>
              <w:jc w:val="center"/>
              <w:rPr>
                <w:rFonts w:ascii="宋体" w:hAnsi="宋体"/>
                <w:bCs/>
                <w:sz w:val="24"/>
              </w:rPr>
            </w:pPr>
            <w:r>
              <w:rPr>
                <w:rFonts w:hint="eastAsia" w:ascii="宋体" w:hAnsi="宋体"/>
                <w:bCs/>
                <w:sz w:val="24"/>
              </w:rPr>
              <w:t>9：00-12：00</w:t>
            </w: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Cs w:val="22"/>
              </w:rPr>
            </w:pPr>
            <w:r>
              <w:rPr>
                <w:rFonts w:hint="eastAsia" w:ascii="宋体" w:hAnsi="宋体"/>
                <w:bCs/>
                <w:szCs w:val="22"/>
              </w:rPr>
              <w:t>当前行政审判重点问题分析及部分发改案件评析（上）</w:t>
            </w:r>
          </w:p>
        </w:tc>
        <w:tc>
          <w:tcPr>
            <w:tcW w:w="1134" w:type="dxa"/>
            <w:vMerge w:val="restart"/>
            <w:tcBorders>
              <w:top w:val="single" w:color="auto" w:sz="6" w:space="0"/>
              <w:left w:val="single" w:color="auto" w:sz="6" w:space="0"/>
              <w:right w:val="single" w:color="auto" w:sz="6" w:space="0"/>
            </w:tcBorders>
            <w:vAlign w:val="center"/>
          </w:tcPr>
          <w:p>
            <w:pPr>
              <w:jc w:val="center"/>
              <w:rPr>
                <w:rFonts w:ascii="宋体" w:hAnsi="宋体"/>
                <w:bCs/>
                <w:szCs w:val="22"/>
              </w:rPr>
            </w:pPr>
            <w:r>
              <w:rPr>
                <w:rFonts w:hint="eastAsia" w:ascii="宋体" w:hAnsi="宋体"/>
                <w:bCs/>
                <w:szCs w:val="22"/>
              </w:rPr>
              <w:t>孔德岩</w:t>
            </w:r>
          </w:p>
        </w:tc>
        <w:tc>
          <w:tcPr>
            <w:tcW w:w="1984" w:type="dxa"/>
            <w:vMerge w:val="restart"/>
            <w:tcBorders>
              <w:top w:val="single" w:color="auto" w:sz="6" w:space="0"/>
              <w:left w:val="single" w:color="auto" w:sz="6" w:space="0"/>
              <w:right w:val="single" w:color="auto" w:sz="6" w:space="0"/>
            </w:tcBorders>
            <w:vAlign w:val="center"/>
          </w:tcPr>
          <w:p>
            <w:pPr>
              <w:jc w:val="center"/>
              <w:rPr>
                <w:rFonts w:ascii="宋体" w:hAnsi="宋体"/>
                <w:bCs/>
                <w:szCs w:val="22"/>
              </w:rPr>
            </w:pPr>
            <w:r>
              <w:rPr>
                <w:rFonts w:hint="eastAsia" w:ascii="宋体" w:hAnsi="宋体"/>
                <w:bCs/>
                <w:szCs w:val="22"/>
              </w:rPr>
              <w:t>吉林省高级人民法院行政庭法官</w:t>
            </w:r>
          </w:p>
        </w:tc>
      </w:tr>
      <w:tr>
        <w:tblPrEx>
          <w:tblCellMar>
            <w:top w:w="0" w:type="dxa"/>
            <w:left w:w="30" w:type="dxa"/>
            <w:bottom w:w="0" w:type="dxa"/>
            <w:right w:w="30" w:type="dxa"/>
          </w:tblCellMar>
        </w:tblPrEx>
        <w:trPr>
          <w:trHeight w:val="833" w:hRule="atLeast"/>
        </w:trPr>
        <w:tc>
          <w:tcPr>
            <w:tcW w:w="1023" w:type="dxa"/>
            <w:vMerge w:val="continue"/>
            <w:tcBorders>
              <w:left w:val="single" w:color="auto" w:sz="6" w:space="0"/>
              <w:bottom w:val="single" w:color="auto" w:sz="6" w:space="0"/>
              <w:right w:val="single" w:color="auto" w:sz="6" w:space="0"/>
            </w:tcBorders>
            <w:vAlign w:val="center"/>
          </w:tcPr>
          <w:p>
            <w:pPr>
              <w:rPr>
                <w:rFonts w:ascii="宋体" w:hAnsi="宋体"/>
                <w:bCs/>
                <w:sz w:val="24"/>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 w:val="24"/>
              </w:rPr>
            </w:pPr>
            <w:r>
              <w:rPr>
                <w:rFonts w:hint="eastAsia" w:ascii="宋体" w:hAnsi="宋体"/>
                <w:bCs/>
                <w:sz w:val="24"/>
              </w:rPr>
              <w:t>下午</w:t>
            </w:r>
          </w:p>
          <w:p>
            <w:pPr>
              <w:jc w:val="center"/>
              <w:rPr>
                <w:rFonts w:ascii="宋体" w:hAnsi="宋体"/>
                <w:bCs/>
                <w:sz w:val="24"/>
              </w:rPr>
            </w:pPr>
            <w:r>
              <w:rPr>
                <w:rFonts w:hint="eastAsia" w:ascii="宋体" w:hAnsi="宋体"/>
                <w:bCs/>
                <w:sz w:val="24"/>
              </w:rPr>
              <w:t>2：00-5：00</w:t>
            </w: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Cs w:val="22"/>
              </w:rPr>
            </w:pPr>
            <w:r>
              <w:rPr>
                <w:rFonts w:hint="eastAsia" w:ascii="宋体" w:hAnsi="宋体"/>
                <w:bCs/>
                <w:szCs w:val="22"/>
              </w:rPr>
              <w:t>当前行政审判重点问题分析及部分发改案件评析（下）</w:t>
            </w:r>
          </w:p>
        </w:tc>
        <w:tc>
          <w:tcPr>
            <w:tcW w:w="1134" w:type="dxa"/>
            <w:vMerge w:val="continue"/>
            <w:tcBorders>
              <w:left w:val="single" w:color="auto" w:sz="6" w:space="0"/>
              <w:bottom w:val="single" w:color="auto" w:sz="6" w:space="0"/>
              <w:right w:val="single" w:color="auto" w:sz="6" w:space="0"/>
            </w:tcBorders>
            <w:vAlign w:val="center"/>
          </w:tcPr>
          <w:p>
            <w:pPr>
              <w:jc w:val="center"/>
              <w:rPr>
                <w:rFonts w:ascii="宋体" w:hAnsi="宋体"/>
                <w:bCs/>
                <w:szCs w:val="22"/>
              </w:rPr>
            </w:pPr>
          </w:p>
        </w:tc>
        <w:tc>
          <w:tcPr>
            <w:tcW w:w="1984" w:type="dxa"/>
            <w:vMerge w:val="continue"/>
            <w:tcBorders>
              <w:left w:val="single" w:color="auto" w:sz="6" w:space="0"/>
              <w:bottom w:val="single" w:color="auto" w:sz="6" w:space="0"/>
              <w:right w:val="single" w:color="auto" w:sz="6" w:space="0"/>
            </w:tcBorders>
            <w:vAlign w:val="center"/>
          </w:tcPr>
          <w:p>
            <w:pPr>
              <w:jc w:val="center"/>
              <w:rPr>
                <w:rFonts w:ascii="宋体" w:hAnsi="宋体"/>
                <w:bCs/>
                <w:szCs w:val="22"/>
              </w:rPr>
            </w:pPr>
          </w:p>
        </w:tc>
      </w:tr>
      <w:tr>
        <w:tblPrEx>
          <w:tblCellMar>
            <w:top w:w="0" w:type="dxa"/>
            <w:left w:w="30" w:type="dxa"/>
            <w:bottom w:w="0" w:type="dxa"/>
            <w:right w:w="30" w:type="dxa"/>
          </w:tblCellMar>
        </w:tblPrEx>
        <w:trPr>
          <w:trHeight w:val="830" w:hRule="atLeast"/>
        </w:trPr>
        <w:tc>
          <w:tcPr>
            <w:tcW w:w="1023" w:type="dxa"/>
            <w:vMerge w:val="restart"/>
            <w:tcBorders>
              <w:top w:val="single" w:color="auto" w:sz="6" w:space="0"/>
              <w:left w:val="single" w:color="auto" w:sz="6" w:space="0"/>
              <w:right w:val="single" w:color="auto" w:sz="6" w:space="0"/>
            </w:tcBorders>
            <w:vAlign w:val="center"/>
          </w:tcPr>
          <w:p>
            <w:pPr>
              <w:jc w:val="center"/>
              <w:rPr>
                <w:rFonts w:ascii="宋体" w:hAnsi="宋体"/>
                <w:bCs/>
                <w:sz w:val="24"/>
              </w:rPr>
            </w:pPr>
            <w:r>
              <w:rPr>
                <w:rFonts w:hint="eastAsia" w:ascii="宋体" w:hAnsi="宋体"/>
                <w:bCs/>
                <w:sz w:val="24"/>
              </w:rPr>
              <w:t>15日</w:t>
            </w: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 w:val="24"/>
              </w:rPr>
            </w:pPr>
            <w:r>
              <w:rPr>
                <w:rFonts w:hint="eastAsia" w:ascii="宋体" w:hAnsi="宋体"/>
                <w:bCs/>
                <w:sz w:val="24"/>
              </w:rPr>
              <w:t>上午</w:t>
            </w:r>
          </w:p>
          <w:p>
            <w:pPr>
              <w:jc w:val="center"/>
              <w:rPr>
                <w:rFonts w:ascii="宋体" w:hAnsi="宋体"/>
                <w:bCs/>
                <w:sz w:val="24"/>
              </w:rPr>
            </w:pPr>
            <w:r>
              <w:rPr>
                <w:rFonts w:hint="eastAsia" w:ascii="宋体" w:hAnsi="宋体"/>
                <w:bCs/>
                <w:sz w:val="24"/>
              </w:rPr>
              <w:t>9：00-12：00</w:t>
            </w:r>
          </w:p>
        </w:tc>
        <w:tc>
          <w:tcPr>
            <w:tcW w:w="2835" w:type="dxa"/>
            <w:tcBorders>
              <w:top w:val="nil"/>
              <w:left w:val="nil"/>
              <w:bottom w:val="nil"/>
              <w:right w:val="nil"/>
            </w:tcBorders>
            <w:vAlign w:val="center"/>
          </w:tcPr>
          <w:p>
            <w:pPr>
              <w:jc w:val="center"/>
              <w:rPr>
                <w:rFonts w:ascii="宋体" w:hAnsi="宋体"/>
                <w:szCs w:val="22"/>
              </w:rPr>
            </w:pPr>
            <w:r>
              <w:rPr>
                <w:rFonts w:hint="eastAsia" w:ascii="宋体" w:hAnsi="宋体"/>
                <w:bCs/>
                <w:szCs w:val="22"/>
              </w:rPr>
              <w:t>当前行政审判重点问题分析及部分发改案件评析</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2"/>
              </w:rPr>
            </w:pPr>
            <w:r>
              <w:rPr>
                <w:rFonts w:hint="eastAsia" w:ascii="宋体" w:hAnsi="宋体"/>
                <w:szCs w:val="22"/>
              </w:rPr>
              <w:t>许家娟</w:t>
            </w:r>
          </w:p>
        </w:tc>
        <w:tc>
          <w:tcPr>
            <w:tcW w:w="198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2"/>
              </w:rPr>
            </w:pPr>
            <w:r>
              <w:rPr>
                <w:rFonts w:hint="eastAsia" w:ascii="宋体" w:hAnsi="宋体"/>
                <w:bCs/>
                <w:szCs w:val="22"/>
              </w:rPr>
              <w:t>吉林省高级人民法院行政庭法官</w:t>
            </w:r>
          </w:p>
        </w:tc>
      </w:tr>
      <w:tr>
        <w:tblPrEx>
          <w:tblCellMar>
            <w:top w:w="0" w:type="dxa"/>
            <w:left w:w="30" w:type="dxa"/>
            <w:bottom w:w="0" w:type="dxa"/>
            <w:right w:w="30" w:type="dxa"/>
          </w:tblCellMar>
        </w:tblPrEx>
        <w:trPr>
          <w:trHeight w:val="842" w:hRule="atLeast"/>
        </w:trPr>
        <w:tc>
          <w:tcPr>
            <w:tcW w:w="1023" w:type="dxa"/>
            <w:vMerge w:val="continue"/>
            <w:tcBorders>
              <w:left w:val="single" w:color="auto" w:sz="6" w:space="0"/>
              <w:bottom w:val="single" w:color="auto" w:sz="6" w:space="0"/>
              <w:right w:val="single" w:color="auto" w:sz="6" w:space="0"/>
            </w:tcBorders>
            <w:vAlign w:val="center"/>
          </w:tcPr>
          <w:p>
            <w:pPr>
              <w:jc w:val="center"/>
              <w:rPr>
                <w:rFonts w:ascii="宋体" w:hAnsi="宋体"/>
                <w:bCs/>
                <w:sz w:val="24"/>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Cs/>
                <w:sz w:val="24"/>
              </w:rPr>
            </w:pPr>
            <w:r>
              <w:rPr>
                <w:rFonts w:hint="eastAsia" w:ascii="宋体" w:hAnsi="宋体"/>
                <w:bCs/>
                <w:sz w:val="24"/>
              </w:rPr>
              <w:t>下午</w:t>
            </w:r>
          </w:p>
          <w:p>
            <w:pPr>
              <w:jc w:val="center"/>
              <w:rPr>
                <w:rFonts w:ascii="宋体" w:hAnsi="宋体"/>
                <w:bCs/>
                <w:sz w:val="24"/>
              </w:rPr>
            </w:pPr>
            <w:r>
              <w:rPr>
                <w:rFonts w:hint="eastAsia" w:ascii="宋体" w:hAnsi="宋体"/>
                <w:bCs/>
                <w:sz w:val="24"/>
              </w:rPr>
              <w:t>2：00-5：00</w:t>
            </w: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2"/>
              </w:rPr>
            </w:pPr>
            <w:r>
              <w:rPr>
                <w:rFonts w:hint="eastAsia" w:ascii="宋体" w:hAnsi="宋体"/>
                <w:szCs w:val="22"/>
              </w:rPr>
              <w:t>习近平新时代中国特色社会主义思想概论</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2"/>
              </w:rPr>
            </w:pPr>
            <w:r>
              <w:rPr>
                <w:rFonts w:hint="eastAsia" w:ascii="宋体" w:hAnsi="宋体"/>
                <w:szCs w:val="22"/>
              </w:rPr>
              <w:t>郑海兵</w:t>
            </w:r>
          </w:p>
        </w:tc>
        <w:tc>
          <w:tcPr>
            <w:tcW w:w="198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2"/>
              </w:rPr>
            </w:pPr>
            <w:r>
              <w:rPr>
                <w:rFonts w:hint="eastAsia" w:ascii="宋体" w:hAnsi="宋体"/>
                <w:szCs w:val="22"/>
              </w:rPr>
              <w:t>中共吉林省委党校政治学教研部副主任，教授，硕士生导师</w:t>
            </w:r>
          </w:p>
        </w:tc>
      </w:tr>
    </w:tbl>
    <w:p>
      <w:pPr>
        <w:spacing w:line="360" w:lineRule="auto"/>
        <w:ind w:firstLine="640" w:firstLineChars="200"/>
        <w:rPr>
          <w:rFonts w:ascii="黑体" w:hAnsi="黑体" w:eastAsia="黑体"/>
          <w:sz w:val="32"/>
          <w:szCs w:val="32"/>
        </w:rPr>
      </w:pPr>
      <w:r>
        <w:rPr>
          <w:rFonts w:hint="eastAsia" w:ascii="黑体" w:hAnsi="黑体" w:eastAsia="黑体"/>
          <w:sz w:val="32"/>
          <w:szCs w:val="32"/>
        </w:rPr>
        <w:t>五、培训要求</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xml:space="preserve">各级法院对此次培训要认真做好组织保障工作，确保参加培训的人员用手机或电脑下载钉钉软件注册。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2.方法步骤。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步骤一：下载软件，打开手机软件商店或应用宝搜索“钉钉”，下载软件并安装。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步骤二：注册登录，通过输入手机号，收到验证码按时限输入，设置密码并牢记，通过支付宝或身份证实名认证，完成注册。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步骤三：打开钉钉软件点击右上角加号，再点击扫一扫，扫描“全省法院行政审判业务培训班”二维码入群，即可观看直播授课。</w:t>
      </w:r>
    </w:p>
    <w:p>
      <w:pPr>
        <w:spacing w:line="360" w:lineRule="auto"/>
        <w:jc w:val="center"/>
        <w:rPr>
          <w:rFonts w:ascii="仿宋" w:hAnsi="仿宋" w:eastAsia="仿宋"/>
          <w:sz w:val="32"/>
          <w:szCs w:val="32"/>
        </w:rPr>
      </w:pPr>
      <w:r>
        <w:rPr>
          <w:rFonts w:ascii="仿宋" w:hAnsi="仿宋" w:eastAsia="仿宋"/>
          <w:sz w:val="32"/>
          <w:szCs w:val="32"/>
        </w:rPr>
        <w:drawing>
          <wp:inline distT="0" distB="0" distL="0" distR="0">
            <wp:extent cx="1315720" cy="1736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26609" cy="1751115"/>
                    </a:xfrm>
                    <a:prstGeom prst="rect">
                      <a:avLst/>
                    </a:prstGeom>
                  </pic:spPr>
                </pic:pic>
              </a:graphicData>
            </a:graphic>
          </wp:inline>
        </w:drawing>
      </w:r>
      <w:r>
        <w:rPr>
          <w:rFonts w:ascii="仿宋" w:hAnsi="仿宋" w:eastAsia="仿宋"/>
          <w:sz w:val="32"/>
          <w:szCs w:val="32"/>
        </w:rPr>
        <w:drawing>
          <wp:inline distT="0" distB="0" distL="0" distR="0">
            <wp:extent cx="1329690" cy="1755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32755" cy="1759223"/>
                    </a:xfrm>
                    <a:prstGeom prst="rect">
                      <a:avLst/>
                    </a:prstGeom>
                  </pic:spPr>
                </pic:pic>
              </a:graphicData>
            </a:graphic>
          </wp:inline>
        </w:drawing>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.请参加培训人员于7月13日前完成软件注册并扫描二维码进入“全省法院行政审判业务培训班”群。</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2020年7月14日（星期二）上午9</w:t>
      </w:r>
      <w:r>
        <w:rPr>
          <w:rFonts w:ascii="仿宋" w:hAnsi="仿宋" w:eastAsia="仿宋"/>
          <w:sz w:val="32"/>
          <w:szCs w:val="32"/>
        </w:rPr>
        <w:t>:</w:t>
      </w:r>
      <w:r>
        <w:rPr>
          <w:rFonts w:hint="eastAsia" w:ascii="仿宋" w:hAnsi="仿宋" w:eastAsia="仿宋"/>
          <w:sz w:val="32"/>
          <w:szCs w:val="32"/>
        </w:rPr>
        <w:t>0</w:t>
      </w:r>
      <w:r>
        <w:rPr>
          <w:rFonts w:ascii="仿宋" w:hAnsi="仿宋" w:eastAsia="仿宋"/>
          <w:sz w:val="32"/>
          <w:szCs w:val="32"/>
        </w:rPr>
        <w:t>0</w:t>
      </w:r>
      <w:r>
        <w:rPr>
          <w:rFonts w:hint="eastAsia" w:ascii="仿宋" w:hAnsi="仿宋" w:eastAsia="仿宋"/>
          <w:sz w:val="32"/>
          <w:szCs w:val="32"/>
        </w:rPr>
        <w:t>开始直播，请参加培训学员确保网络安全畅通，提前登录钉钉进入培训群，更改群内名称为单位+姓名，点击签到观看直播授课。</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.各级法院技术部门要提供技术保障并指导参加培训学员下载钉钉软件完成注册，加入培训群。</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联系人：</w:t>
      </w:r>
      <w:r>
        <w:rPr>
          <w:rFonts w:hint="eastAsia" w:ascii="仿宋" w:hAnsi="仿宋" w:eastAsia="仿宋"/>
          <w:sz w:val="32"/>
          <w:szCs w:val="32"/>
          <w:lang w:eastAsia="zh-CN"/>
        </w:rPr>
        <w:t>省法官学院</w:t>
      </w:r>
      <w:r>
        <w:rPr>
          <w:rFonts w:hint="eastAsia" w:ascii="仿宋" w:hAnsi="仿宋" w:eastAsia="仿宋"/>
          <w:sz w:val="32"/>
          <w:szCs w:val="32"/>
        </w:rPr>
        <w:t>杨金丹、李贞姬、孙思涵</w:t>
      </w:r>
    </w:p>
    <w:p>
      <w:pPr>
        <w:spacing w:line="360" w:lineRule="auto"/>
        <w:ind w:firstLine="600"/>
        <w:rPr>
          <w:rFonts w:ascii="仿宋" w:hAnsi="仿宋" w:eastAsia="仿宋"/>
          <w:sz w:val="32"/>
          <w:szCs w:val="32"/>
        </w:rPr>
      </w:pPr>
      <w:r>
        <w:rPr>
          <w:rFonts w:hint="eastAsia" w:ascii="仿宋" w:hAnsi="仿宋" w:eastAsia="仿宋"/>
          <w:sz w:val="32"/>
          <w:szCs w:val="32"/>
        </w:rPr>
        <w:t>电</w:t>
      </w:r>
      <w:r>
        <w:rPr>
          <w:rFonts w:ascii="仿宋" w:hAnsi="仿宋" w:eastAsia="仿宋"/>
          <w:sz w:val="32"/>
          <w:szCs w:val="32"/>
        </w:rPr>
        <w:t xml:space="preserve">  </w:t>
      </w:r>
      <w:r>
        <w:rPr>
          <w:rFonts w:hint="eastAsia" w:ascii="仿宋" w:hAnsi="仿宋" w:eastAsia="仿宋"/>
          <w:sz w:val="32"/>
          <w:szCs w:val="32"/>
        </w:rPr>
        <w:t>话：13500890650、13844189508、18569949221</w:t>
      </w:r>
    </w:p>
    <w:p>
      <w:pPr>
        <w:spacing w:line="360" w:lineRule="auto"/>
        <w:ind w:firstLine="600"/>
        <w:jc w:val="both"/>
        <w:rPr>
          <w:rFonts w:hint="eastAsia" w:ascii="仿宋" w:hAnsi="仿宋" w:eastAsia="仿宋"/>
          <w:sz w:val="32"/>
          <w:szCs w:val="32"/>
          <w:lang w:eastAsia="zh-CN"/>
        </w:rPr>
      </w:pPr>
      <w:r>
        <w:rPr>
          <w:rFonts w:hint="eastAsia" w:ascii="仿宋" w:hAnsi="仿宋" w:eastAsia="仿宋"/>
          <w:sz w:val="32"/>
          <w:szCs w:val="32"/>
          <w:lang w:eastAsia="zh-CN"/>
        </w:rPr>
        <w:t>联系人：市法院齐文聪</w:t>
      </w:r>
    </w:p>
    <w:p>
      <w:pPr>
        <w:spacing w:line="360" w:lineRule="auto"/>
        <w:ind w:firstLine="600"/>
        <w:jc w:val="both"/>
        <w:rPr>
          <w:rFonts w:hint="eastAsia" w:ascii="仿宋" w:hAnsi="仿宋" w:eastAsia="仿宋"/>
          <w:sz w:val="32"/>
          <w:szCs w:val="32"/>
          <w:lang w:val="en-US" w:eastAsia="zh-CN"/>
        </w:rPr>
      </w:pPr>
      <w:r>
        <w:rPr>
          <w:rFonts w:hint="eastAsia" w:ascii="仿宋" w:hAnsi="仿宋" w:eastAsia="仿宋"/>
          <w:sz w:val="32"/>
          <w:szCs w:val="32"/>
          <w:lang w:eastAsia="zh-CN"/>
        </w:rPr>
        <w:t>电</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话：</w:t>
      </w:r>
      <w:r>
        <w:rPr>
          <w:rFonts w:hint="eastAsia" w:ascii="仿宋" w:hAnsi="仿宋" w:eastAsia="仿宋"/>
          <w:sz w:val="32"/>
          <w:szCs w:val="32"/>
          <w:lang w:val="en-US" w:eastAsia="zh-CN"/>
        </w:rPr>
        <w:t>13644405802</w:t>
      </w:r>
    </w:p>
    <w:p>
      <w:pPr>
        <w:spacing w:line="360" w:lineRule="auto"/>
        <w:ind w:firstLine="600"/>
        <w:jc w:val="both"/>
        <w:rPr>
          <w:rFonts w:hint="eastAsia" w:ascii="仿宋" w:hAnsi="仿宋" w:eastAsia="仿宋"/>
          <w:sz w:val="32"/>
          <w:szCs w:val="32"/>
          <w:lang w:val="en-US" w:eastAsia="zh-CN"/>
        </w:rPr>
      </w:pPr>
    </w:p>
    <w:p>
      <w:pPr>
        <w:spacing w:line="360" w:lineRule="auto"/>
        <w:ind w:firstLine="600"/>
        <w:jc w:val="both"/>
        <w:rPr>
          <w:rFonts w:hint="default" w:ascii="仿宋" w:hAnsi="仿宋" w:eastAsia="仿宋"/>
          <w:sz w:val="32"/>
          <w:szCs w:val="32"/>
          <w:lang w:val="en-US" w:eastAsia="zh-CN"/>
        </w:rPr>
      </w:pPr>
    </w:p>
    <w:p>
      <w:pPr>
        <w:tabs>
          <w:tab w:val="left" w:pos="7513"/>
          <w:tab w:val="left" w:pos="8080"/>
        </w:tabs>
        <w:spacing w:line="360" w:lineRule="auto"/>
        <w:ind w:right="600" w:firstLine="600"/>
        <w:jc w:val="center"/>
      </w:pPr>
      <w:r>
        <w:rPr>
          <w:rFonts w:ascii="仿宋" w:hAnsi="仿宋" w:eastAsia="仿宋"/>
          <w:sz w:val="32"/>
          <w:szCs w:val="32"/>
        </w:rPr>
        <w:t xml:space="preserve">                 </w:t>
      </w:r>
      <w:r>
        <w:rPr>
          <w:rFonts w:hint="eastAsia" w:ascii="仿宋" w:hAnsi="仿宋" w:eastAsia="仿宋"/>
          <w:sz w:val="32"/>
          <w:szCs w:val="32"/>
        </w:rPr>
        <w:t xml:space="preserve">      2020</w:t>
      </w:r>
      <w:r>
        <w:rPr>
          <w:rFonts w:hint="eastAsia" w:ascii="仿宋" w:hAnsi="仿宋" w:eastAsia="仿宋" w:cs="仿宋_GB2312"/>
          <w:sz w:val="32"/>
          <w:szCs w:val="32"/>
        </w:rPr>
        <w:t>年7月</w:t>
      </w:r>
      <w:r>
        <w:rPr>
          <w:rFonts w:hint="eastAsia" w:ascii="仿宋" w:hAnsi="仿宋" w:eastAsia="仿宋" w:cs="仿宋_GB2312"/>
          <w:sz w:val="32"/>
          <w:szCs w:val="32"/>
          <w:lang w:val="en-US" w:eastAsia="zh-CN"/>
        </w:rPr>
        <w:t>13</w:t>
      </w:r>
      <w:bookmarkStart w:id="0" w:name="_GoBack"/>
      <w:bookmarkEnd w:id="0"/>
      <w:r>
        <w:rPr>
          <w:rFonts w:hint="eastAsia" w:ascii="仿宋" w:hAnsi="仿宋" w:eastAsia="仿宋" w:cs="仿宋_GB2312"/>
          <w:sz w:val="32"/>
          <w:szCs w:val="32"/>
        </w:rPr>
        <w:t>日</w:t>
      </w:r>
    </w:p>
    <w:sectPr>
      <w:footerReference r:id="rId3" w:type="default"/>
      <w:footerReference r:id="rId4" w:type="even"/>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t xml:space="preserve">— </w:t>
    </w: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r>
      <w:rPr>
        <w:rStyle w:val="9"/>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01E12"/>
    <w:rsid w:val="000010C4"/>
    <w:rsid w:val="00001651"/>
    <w:rsid w:val="0002126D"/>
    <w:rsid w:val="000257B8"/>
    <w:rsid w:val="0004612B"/>
    <w:rsid w:val="00050385"/>
    <w:rsid w:val="00057AAA"/>
    <w:rsid w:val="00061803"/>
    <w:rsid w:val="0006498A"/>
    <w:rsid w:val="00085C47"/>
    <w:rsid w:val="00086D73"/>
    <w:rsid w:val="000961F7"/>
    <w:rsid w:val="000A3212"/>
    <w:rsid w:val="000D7A8F"/>
    <w:rsid w:val="000F29CF"/>
    <w:rsid w:val="000F59E7"/>
    <w:rsid w:val="00115457"/>
    <w:rsid w:val="001352F7"/>
    <w:rsid w:val="001434E8"/>
    <w:rsid w:val="00161A89"/>
    <w:rsid w:val="001807FF"/>
    <w:rsid w:val="00183FC7"/>
    <w:rsid w:val="00193E30"/>
    <w:rsid w:val="00193EEA"/>
    <w:rsid w:val="00197436"/>
    <w:rsid w:val="001A3B5D"/>
    <w:rsid w:val="001C2E3D"/>
    <w:rsid w:val="001D5FF4"/>
    <w:rsid w:val="001D7D41"/>
    <w:rsid w:val="001E697E"/>
    <w:rsid w:val="001E7F35"/>
    <w:rsid w:val="001F747A"/>
    <w:rsid w:val="00201878"/>
    <w:rsid w:val="00217169"/>
    <w:rsid w:val="002322C5"/>
    <w:rsid w:val="0023540C"/>
    <w:rsid w:val="00240BD5"/>
    <w:rsid w:val="00262615"/>
    <w:rsid w:val="00267390"/>
    <w:rsid w:val="00284A72"/>
    <w:rsid w:val="00286884"/>
    <w:rsid w:val="0029244B"/>
    <w:rsid w:val="00292B99"/>
    <w:rsid w:val="00296291"/>
    <w:rsid w:val="002A1E7C"/>
    <w:rsid w:val="002B31FB"/>
    <w:rsid w:val="002B6D56"/>
    <w:rsid w:val="002C350C"/>
    <w:rsid w:val="002C75AB"/>
    <w:rsid w:val="002E2F53"/>
    <w:rsid w:val="002E5EDF"/>
    <w:rsid w:val="002E6174"/>
    <w:rsid w:val="002E6624"/>
    <w:rsid w:val="0030535F"/>
    <w:rsid w:val="00305E69"/>
    <w:rsid w:val="00306070"/>
    <w:rsid w:val="00311709"/>
    <w:rsid w:val="00313870"/>
    <w:rsid w:val="00326D66"/>
    <w:rsid w:val="00330C0A"/>
    <w:rsid w:val="0039134A"/>
    <w:rsid w:val="003A3BF7"/>
    <w:rsid w:val="003B300D"/>
    <w:rsid w:val="003D3C17"/>
    <w:rsid w:val="003E2F07"/>
    <w:rsid w:val="004021AB"/>
    <w:rsid w:val="004167B5"/>
    <w:rsid w:val="004356D9"/>
    <w:rsid w:val="00451B9A"/>
    <w:rsid w:val="00454834"/>
    <w:rsid w:val="00457DC8"/>
    <w:rsid w:val="00461C84"/>
    <w:rsid w:val="00465C09"/>
    <w:rsid w:val="004735D2"/>
    <w:rsid w:val="0048024F"/>
    <w:rsid w:val="00480C9D"/>
    <w:rsid w:val="00487C1B"/>
    <w:rsid w:val="00496DC2"/>
    <w:rsid w:val="004B3363"/>
    <w:rsid w:val="004B42CE"/>
    <w:rsid w:val="004B4D56"/>
    <w:rsid w:val="004C7832"/>
    <w:rsid w:val="004D1B75"/>
    <w:rsid w:val="004D2780"/>
    <w:rsid w:val="004D5AE6"/>
    <w:rsid w:val="004D678E"/>
    <w:rsid w:val="004D7C82"/>
    <w:rsid w:val="004E24F2"/>
    <w:rsid w:val="004F20CC"/>
    <w:rsid w:val="004F63D5"/>
    <w:rsid w:val="00504B35"/>
    <w:rsid w:val="00515B71"/>
    <w:rsid w:val="005276DC"/>
    <w:rsid w:val="00530D4B"/>
    <w:rsid w:val="005506A9"/>
    <w:rsid w:val="005560C4"/>
    <w:rsid w:val="0056349D"/>
    <w:rsid w:val="005721FD"/>
    <w:rsid w:val="005839B0"/>
    <w:rsid w:val="00593468"/>
    <w:rsid w:val="005A1A3D"/>
    <w:rsid w:val="005B0E47"/>
    <w:rsid w:val="005C7B92"/>
    <w:rsid w:val="005D771F"/>
    <w:rsid w:val="005F1D53"/>
    <w:rsid w:val="006107F2"/>
    <w:rsid w:val="00612870"/>
    <w:rsid w:val="0061398E"/>
    <w:rsid w:val="006261A0"/>
    <w:rsid w:val="006544EE"/>
    <w:rsid w:val="00657A78"/>
    <w:rsid w:val="00684A46"/>
    <w:rsid w:val="00694140"/>
    <w:rsid w:val="00695534"/>
    <w:rsid w:val="00696189"/>
    <w:rsid w:val="006A0837"/>
    <w:rsid w:val="006A70EE"/>
    <w:rsid w:val="006B7733"/>
    <w:rsid w:val="006E2CDD"/>
    <w:rsid w:val="006E595A"/>
    <w:rsid w:val="006E667C"/>
    <w:rsid w:val="006F39C2"/>
    <w:rsid w:val="00735FFF"/>
    <w:rsid w:val="00746FC9"/>
    <w:rsid w:val="007510B9"/>
    <w:rsid w:val="00776271"/>
    <w:rsid w:val="00787664"/>
    <w:rsid w:val="00787FAE"/>
    <w:rsid w:val="007A6558"/>
    <w:rsid w:val="007A75C9"/>
    <w:rsid w:val="007B2917"/>
    <w:rsid w:val="007B3F75"/>
    <w:rsid w:val="007C4617"/>
    <w:rsid w:val="007D0599"/>
    <w:rsid w:val="007D07D1"/>
    <w:rsid w:val="007D53C4"/>
    <w:rsid w:val="007E58BB"/>
    <w:rsid w:val="007E7AF6"/>
    <w:rsid w:val="007F0D1F"/>
    <w:rsid w:val="008002BE"/>
    <w:rsid w:val="00801504"/>
    <w:rsid w:val="008164C8"/>
    <w:rsid w:val="00822936"/>
    <w:rsid w:val="008253A0"/>
    <w:rsid w:val="008278E8"/>
    <w:rsid w:val="00827C40"/>
    <w:rsid w:val="00835935"/>
    <w:rsid w:val="00863DCB"/>
    <w:rsid w:val="00865465"/>
    <w:rsid w:val="00887AC8"/>
    <w:rsid w:val="008A31A0"/>
    <w:rsid w:val="008A523B"/>
    <w:rsid w:val="008B007A"/>
    <w:rsid w:val="008B537D"/>
    <w:rsid w:val="008C2A15"/>
    <w:rsid w:val="008E0C31"/>
    <w:rsid w:val="008E3C27"/>
    <w:rsid w:val="008E4F80"/>
    <w:rsid w:val="0090464E"/>
    <w:rsid w:val="009063C9"/>
    <w:rsid w:val="00914771"/>
    <w:rsid w:val="009213C2"/>
    <w:rsid w:val="00921E7A"/>
    <w:rsid w:val="0092592C"/>
    <w:rsid w:val="009413DB"/>
    <w:rsid w:val="0094488B"/>
    <w:rsid w:val="0096187A"/>
    <w:rsid w:val="0099637B"/>
    <w:rsid w:val="009A4C18"/>
    <w:rsid w:val="009A7CD4"/>
    <w:rsid w:val="009B0639"/>
    <w:rsid w:val="009C0B4A"/>
    <w:rsid w:val="009C69F9"/>
    <w:rsid w:val="009E0801"/>
    <w:rsid w:val="009E3E88"/>
    <w:rsid w:val="00A048CA"/>
    <w:rsid w:val="00A04B31"/>
    <w:rsid w:val="00A12929"/>
    <w:rsid w:val="00A25265"/>
    <w:rsid w:val="00A3516C"/>
    <w:rsid w:val="00A36DEF"/>
    <w:rsid w:val="00A50544"/>
    <w:rsid w:val="00A63258"/>
    <w:rsid w:val="00A638E1"/>
    <w:rsid w:val="00A64202"/>
    <w:rsid w:val="00A84116"/>
    <w:rsid w:val="00A92537"/>
    <w:rsid w:val="00A94B8C"/>
    <w:rsid w:val="00AA1EA1"/>
    <w:rsid w:val="00AC0EE9"/>
    <w:rsid w:val="00AC2DF3"/>
    <w:rsid w:val="00AC52A3"/>
    <w:rsid w:val="00AE788E"/>
    <w:rsid w:val="00AF3C7F"/>
    <w:rsid w:val="00B423C1"/>
    <w:rsid w:val="00B45344"/>
    <w:rsid w:val="00B52572"/>
    <w:rsid w:val="00B56FE8"/>
    <w:rsid w:val="00B707E5"/>
    <w:rsid w:val="00B84384"/>
    <w:rsid w:val="00B851B5"/>
    <w:rsid w:val="00B8679A"/>
    <w:rsid w:val="00BA29A4"/>
    <w:rsid w:val="00BA6DF2"/>
    <w:rsid w:val="00BC3FCE"/>
    <w:rsid w:val="00BD594D"/>
    <w:rsid w:val="00BF7BBF"/>
    <w:rsid w:val="00C0191C"/>
    <w:rsid w:val="00C15A8C"/>
    <w:rsid w:val="00C30C6C"/>
    <w:rsid w:val="00C336D7"/>
    <w:rsid w:val="00C619D8"/>
    <w:rsid w:val="00C8079D"/>
    <w:rsid w:val="00C941FC"/>
    <w:rsid w:val="00CA1E1E"/>
    <w:rsid w:val="00CA3A0C"/>
    <w:rsid w:val="00CA4A3D"/>
    <w:rsid w:val="00CB6814"/>
    <w:rsid w:val="00CE2E81"/>
    <w:rsid w:val="00CF3315"/>
    <w:rsid w:val="00CF3EE0"/>
    <w:rsid w:val="00D01E12"/>
    <w:rsid w:val="00D01FD5"/>
    <w:rsid w:val="00D02AF7"/>
    <w:rsid w:val="00D12310"/>
    <w:rsid w:val="00D405DB"/>
    <w:rsid w:val="00D50AD7"/>
    <w:rsid w:val="00D53D3D"/>
    <w:rsid w:val="00D64164"/>
    <w:rsid w:val="00D67849"/>
    <w:rsid w:val="00D74F87"/>
    <w:rsid w:val="00D8416A"/>
    <w:rsid w:val="00D87C21"/>
    <w:rsid w:val="00D91654"/>
    <w:rsid w:val="00D928BD"/>
    <w:rsid w:val="00D93CF9"/>
    <w:rsid w:val="00D9414E"/>
    <w:rsid w:val="00DC3E2A"/>
    <w:rsid w:val="00DD6660"/>
    <w:rsid w:val="00DE3F4A"/>
    <w:rsid w:val="00E03305"/>
    <w:rsid w:val="00E03961"/>
    <w:rsid w:val="00E041C9"/>
    <w:rsid w:val="00E220EB"/>
    <w:rsid w:val="00E262E3"/>
    <w:rsid w:val="00E32F21"/>
    <w:rsid w:val="00E4682A"/>
    <w:rsid w:val="00E73A23"/>
    <w:rsid w:val="00E743C8"/>
    <w:rsid w:val="00E76144"/>
    <w:rsid w:val="00E834B0"/>
    <w:rsid w:val="00E8362F"/>
    <w:rsid w:val="00EA0DF9"/>
    <w:rsid w:val="00EA5C0C"/>
    <w:rsid w:val="00EC7215"/>
    <w:rsid w:val="00ED4968"/>
    <w:rsid w:val="00F1051F"/>
    <w:rsid w:val="00F1146C"/>
    <w:rsid w:val="00F15742"/>
    <w:rsid w:val="00F2287C"/>
    <w:rsid w:val="00F239B8"/>
    <w:rsid w:val="00F25606"/>
    <w:rsid w:val="00F27ACA"/>
    <w:rsid w:val="00F32258"/>
    <w:rsid w:val="00F45B82"/>
    <w:rsid w:val="00F47EB9"/>
    <w:rsid w:val="00F631B5"/>
    <w:rsid w:val="00F64619"/>
    <w:rsid w:val="00F64BA0"/>
    <w:rsid w:val="00F8405F"/>
    <w:rsid w:val="00F879BD"/>
    <w:rsid w:val="00FA015B"/>
    <w:rsid w:val="00FD189F"/>
    <w:rsid w:val="00FD4458"/>
    <w:rsid w:val="00FD609F"/>
    <w:rsid w:val="00FF0C1E"/>
    <w:rsid w:val="00FF2402"/>
    <w:rsid w:val="00FF7B38"/>
    <w:rsid w:val="031A2BDC"/>
    <w:rsid w:val="0563332F"/>
    <w:rsid w:val="097A4BFA"/>
    <w:rsid w:val="0A1F3374"/>
    <w:rsid w:val="0F1A5557"/>
    <w:rsid w:val="0F53019B"/>
    <w:rsid w:val="16BF52BE"/>
    <w:rsid w:val="196341B5"/>
    <w:rsid w:val="1B837DC5"/>
    <w:rsid w:val="1B902F26"/>
    <w:rsid w:val="1CEA57E4"/>
    <w:rsid w:val="1D716926"/>
    <w:rsid w:val="239272C4"/>
    <w:rsid w:val="254802AC"/>
    <w:rsid w:val="26E74FBD"/>
    <w:rsid w:val="2722212B"/>
    <w:rsid w:val="27437DA6"/>
    <w:rsid w:val="281C1FD0"/>
    <w:rsid w:val="28E148E9"/>
    <w:rsid w:val="2CD910F9"/>
    <w:rsid w:val="2F70338C"/>
    <w:rsid w:val="310A3B16"/>
    <w:rsid w:val="32230777"/>
    <w:rsid w:val="32953662"/>
    <w:rsid w:val="32B451C7"/>
    <w:rsid w:val="340A0822"/>
    <w:rsid w:val="345A6DCC"/>
    <w:rsid w:val="39AE06A1"/>
    <w:rsid w:val="3F1513DF"/>
    <w:rsid w:val="3FCC75F4"/>
    <w:rsid w:val="4005456D"/>
    <w:rsid w:val="4A2B3888"/>
    <w:rsid w:val="4BCB0F8B"/>
    <w:rsid w:val="4CFF72CF"/>
    <w:rsid w:val="4D8F3464"/>
    <w:rsid w:val="4F5B3289"/>
    <w:rsid w:val="55110DA1"/>
    <w:rsid w:val="5A7E7BCB"/>
    <w:rsid w:val="649C512B"/>
    <w:rsid w:val="6819153D"/>
    <w:rsid w:val="6B6905BF"/>
    <w:rsid w:val="6CA20E60"/>
    <w:rsid w:val="6F5A6760"/>
    <w:rsid w:val="715C52EA"/>
    <w:rsid w:val="71B506EF"/>
    <w:rsid w:val="75E45D00"/>
    <w:rsid w:val="7D3401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99"/>
    <w:rPr>
      <w:rFonts w:ascii="仿宋_GB2312" w:eastAsia="仿宋_GB2312"/>
      <w:sz w:val="30"/>
      <w:szCs w:val="20"/>
    </w:rPr>
  </w:style>
  <w:style w:type="paragraph" w:styleId="3">
    <w:name w:val="Date"/>
    <w:basedOn w:val="1"/>
    <w:next w:val="1"/>
    <w:link w:val="15"/>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99"/>
    <w:rPr>
      <w:rFonts w:cs="Times New Roman"/>
    </w:rPr>
  </w:style>
  <w:style w:type="character" w:styleId="10">
    <w:name w:val="Hyperlink"/>
    <w:qFormat/>
    <w:uiPriority w:val="99"/>
    <w:rPr>
      <w:rFonts w:cs="Times New Roman"/>
      <w:color w:val="0000FF"/>
      <w:u w:val="single"/>
    </w:rPr>
  </w:style>
  <w:style w:type="character" w:customStyle="1" w:styleId="11">
    <w:name w:val="正文文本 Char"/>
    <w:link w:val="2"/>
    <w:qFormat/>
    <w:locked/>
    <w:uiPriority w:val="99"/>
    <w:rPr>
      <w:rFonts w:ascii="仿宋_GB2312" w:hAnsi="Times New Roman" w:eastAsia="仿宋_GB2312" w:cs="Times New Roman"/>
      <w:sz w:val="20"/>
      <w:szCs w:val="20"/>
    </w:rPr>
  </w:style>
  <w:style w:type="character" w:customStyle="1" w:styleId="12">
    <w:name w:val="页脚 Char"/>
    <w:link w:val="5"/>
    <w:qFormat/>
    <w:locked/>
    <w:uiPriority w:val="99"/>
    <w:rPr>
      <w:rFonts w:ascii="Times New Roman" w:hAnsi="Times New Roman" w:eastAsia="宋体" w:cs="Times New Roman"/>
      <w:sz w:val="18"/>
      <w:szCs w:val="18"/>
    </w:rPr>
  </w:style>
  <w:style w:type="character" w:customStyle="1" w:styleId="13">
    <w:name w:val="批注框文本 Char"/>
    <w:link w:val="4"/>
    <w:semiHidden/>
    <w:qFormat/>
    <w:locked/>
    <w:uiPriority w:val="99"/>
    <w:rPr>
      <w:rFonts w:ascii="Times New Roman" w:hAnsi="Times New Roman" w:eastAsia="宋体" w:cs="Times New Roman"/>
      <w:sz w:val="18"/>
      <w:szCs w:val="18"/>
    </w:rPr>
  </w:style>
  <w:style w:type="character" w:customStyle="1" w:styleId="14">
    <w:name w:val="页眉 Char"/>
    <w:link w:val="6"/>
    <w:qFormat/>
    <w:locked/>
    <w:uiPriority w:val="99"/>
    <w:rPr>
      <w:rFonts w:ascii="Times New Roman" w:hAnsi="Times New Roman" w:eastAsia="宋体" w:cs="Times New Roman"/>
      <w:sz w:val="18"/>
      <w:szCs w:val="18"/>
    </w:rPr>
  </w:style>
  <w:style w:type="character" w:customStyle="1" w:styleId="15">
    <w:name w:val="日期 Char"/>
    <w:link w:val="3"/>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5C2AF-DCBC-410F-B850-4C6B4C6004C7}">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3</Pages>
  <Words>144</Words>
  <Characters>827</Characters>
  <Lines>6</Lines>
  <Paragraphs>1</Paragraphs>
  <TotalTime>364</TotalTime>
  <ScaleCrop>false</ScaleCrop>
  <LinksUpToDate>false</LinksUpToDate>
  <CharactersWithSpaces>970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2019-04-12T02:23:00Z</dcterms:created>
  <dc:creator>dan</dc:creator>
  <cp:lastModifiedBy>安宇希_ </cp:lastModifiedBy>
  <cp:lastPrinted>2020-07-07T06:56:00Z</cp:lastPrinted>
  <dcterms:modified xsi:type="dcterms:W3CDTF">2020-07-13T00:06:28Z</dcterms:modified>
  <dc:title>吉林省法官培训学院</dc:title>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