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r>
        <w:rPr>
          <w:rFonts w:hint="eastAsia" w:ascii="宋体" w:hAnsi="宋体"/>
          <w:b/>
          <w:sz w:val="44"/>
          <w:szCs w:val="44"/>
        </w:rPr>
        <w:t>关于</w:t>
      </w:r>
      <w:r>
        <w:rPr>
          <w:rFonts w:hint="eastAsia" w:ascii="宋体" w:hAnsi="宋体"/>
          <w:b/>
          <w:sz w:val="44"/>
          <w:szCs w:val="44"/>
          <w:lang w:eastAsia="zh-CN"/>
        </w:rPr>
        <w:t>参加</w:t>
      </w:r>
      <w:r>
        <w:rPr>
          <w:rFonts w:hint="eastAsia" w:ascii="宋体" w:hAnsi="宋体"/>
          <w:b/>
          <w:sz w:val="44"/>
          <w:szCs w:val="44"/>
        </w:rPr>
        <w:t>全省法院规范化管理系列</w:t>
      </w:r>
    </w:p>
    <w:p>
      <w:pPr>
        <w:spacing w:line="360" w:lineRule="auto"/>
        <w:jc w:val="center"/>
        <w:rPr>
          <w:rFonts w:ascii="宋体"/>
          <w:b/>
          <w:sz w:val="44"/>
          <w:szCs w:val="44"/>
        </w:rPr>
      </w:pPr>
      <w:r>
        <w:rPr>
          <w:rFonts w:hint="eastAsia" w:ascii="宋体" w:hAnsi="宋体"/>
          <w:b/>
          <w:sz w:val="44"/>
          <w:szCs w:val="44"/>
        </w:rPr>
        <w:t>培训班（第一期）的通知</w:t>
      </w:r>
    </w:p>
    <w:p>
      <w:pPr>
        <w:spacing w:line="360" w:lineRule="auto"/>
        <w:jc w:val="center"/>
        <w:rPr>
          <w:rFonts w:ascii="宋体"/>
          <w:b/>
          <w:sz w:val="32"/>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sz w:val="32"/>
          <w:szCs w:val="32"/>
        </w:rPr>
      </w:pPr>
      <w:r>
        <w:rPr>
          <w:rFonts w:hint="eastAsia" w:ascii="仿宋" w:hAnsi="仿宋" w:eastAsia="仿宋"/>
          <w:sz w:val="32"/>
          <w:szCs w:val="32"/>
          <w:lang w:eastAsia="zh-CN"/>
        </w:rPr>
        <w:t>本院各部门、各基层法院</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根据</w:t>
      </w:r>
      <w:r>
        <w:rPr>
          <w:rFonts w:hint="eastAsia" w:ascii="仿宋" w:hAnsi="仿宋" w:eastAsia="仿宋" w:cs="仿宋"/>
          <w:bCs/>
          <w:sz w:val="32"/>
          <w:szCs w:val="32"/>
        </w:rPr>
        <w:t>《2020年全省法院教育培训计划》，为进一步规范全省法院机关公文应用与写作，法官学院拟</w:t>
      </w:r>
      <w:r>
        <w:rPr>
          <w:rFonts w:hint="eastAsia" w:ascii="仿宋" w:hAnsi="仿宋" w:eastAsia="仿宋"/>
          <w:sz w:val="32"/>
          <w:szCs w:val="32"/>
        </w:rPr>
        <w:t>于</w:t>
      </w:r>
      <w:r>
        <w:rPr>
          <w:rFonts w:ascii="仿宋" w:hAnsi="仿宋" w:eastAsia="仿宋"/>
          <w:b/>
          <w:bCs/>
          <w:sz w:val="32"/>
          <w:szCs w:val="32"/>
        </w:rPr>
        <w:t>20</w:t>
      </w:r>
      <w:r>
        <w:rPr>
          <w:rFonts w:hint="eastAsia" w:ascii="仿宋" w:hAnsi="仿宋" w:eastAsia="仿宋"/>
          <w:b/>
          <w:bCs/>
          <w:sz w:val="32"/>
          <w:szCs w:val="32"/>
        </w:rPr>
        <w:t>20年4月15日（星期三），13：30</w:t>
      </w:r>
      <w:r>
        <w:rPr>
          <w:rFonts w:ascii="仿宋" w:hAnsi="仿宋" w:eastAsia="仿宋"/>
          <w:b/>
          <w:bCs/>
          <w:sz w:val="32"/>
          <w:szCs w:val="32"/>
        </w:rPr>
        <w:t>—16</w:t>
      </w:r>
      <w:r>
        <w:rPr>
          <w:rFonts w:hint="eastAsia" w:ascii="仿宋" w:hAnsi="仿宋" w:eastAsia="仿宋"/>
          <w:b/>
          <w:bCs/>
          <w:sz w:val="32"/>
          <w:szCs w:val="32"/>
        </w:rPr>
        <w:t>：3</w:t>
      </w:r>
      <w:r>
        <w:rPr>
          <w:rFonts w:ascii="仿宋" w:hAnsi="仿宋" w:eastAsia="仿宋"/>
          <w:b/>
          <w:bCs/>
          <w:sz w:val="32"/>
          <w:szCs w:val="32"/>
        </w:rPr>
        <w:t>0</w:t>
      </w:r>
      <w:r>
        <w:rPr>
          <w:rFonts w:hint="eastAsia" w:ascii="仿宋" w:hAnsi="仿宋" w:eastAsia="仿宋"/>
          <w:sz w:val="32"/>
          <w:szCs w:val="32"/>
        </w:rPr>
        <w:t>举办全省法院规范化管理系列培训班（第一期）</w:t>
      </w:r>
      <w:r>
        <w:rPr>
          <w:rFonts w:hint="eastAsia" w:ascii="仿宋" w:hAnsi="仿宋" w:eastAsia="仿宋"/>
          <w:sz w:val="32"/>
          <w:szCs w:val="32"/>
          <w:lang w:eastAsia="zh-CN"/>
        </w:rPr>
        <w:t>。培训内容为</w:t>
      </w:r>
      <w:r>
        <w:rPr>
          <w:rFonts w:hint="eastAsia" w:ascii="仿宋" w:hAnsi="仿宋" w:eastAsia="仿宋"/>
          <w:sz w:val="32"/>
          <w:szCs w:val="32"/>
        </w:rPr>
        <w:t>机关公文规范化与应用</w:t>
      </w:r>
      <w:r>
        <w:rPr>
          <w:rFonts w:hint="eastAsia" w:ascii="仿宋" w:hAnsi="仿宋" w:eastAsia="仿宋"/>
          <w:sz w:val="32"/>
          <w:szCs w:val="32"/>
          <w:lang w:eastAsia="zh-CN"/>
        </w:rPr>
        <w:t>，</w:t>
      </w:r>
      <w:r>
        <w:rPr>
          <w:rFonts w:hint="eastAsia" w:ascii="仿宋" w:hAnsi="仿宋" w:eastAsia="仿宋"/>
          <w:sz w:val="32"/>
          <w:szCs w:val="32"/>
        </w:rPr>
        <w:t>授课人：吉林省高级人民法院办公室副主任米于。本次培训采取通过“钉钉”软件网络直播方式授课。</w:t>
      </w:r>
    </w:p>
    <w:p>
      <w:pPr>
        <w:pStyle w:val="2"/>
        <w:spacing w:line="360" w:lineRule="auto"/>
        <w:ind w:firstLine="640" w:firstLineChars="200"/>
        <w:rPr>
          <w:rFonts w:ascii="仿宋" w:hAnsi="仿宋" w:eastAsia="仿宋"/>
          <w:sz w:val="32"/>
          <w:szCs w:val="32"/>
        </w:rPr>
      </w:pPr>
      <w:r>
        <w:rPr>
          <w:rFonts w:hint="eastAsia" w:ascii="仿宋" w:hAnsi="仿宋" w:eastAsia="仿宋"/>
          <w:sz w:val="32"/>
          <w:szCs w:val="32"/>
        </w:rPr>
        <w:t>现将相关事项通知如下：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一、培训对象</w:t>
      </w:r>
    </w:p>
    <w:p>
      <w:pPr>
        <w:spacing w:line="360" w:lineRule="auto"/>
        <w:ind w:firstLine="643" w:firstLineChars="200"/>
        <w:rPr>
          <w:rFonts w:ascii="仿宋" w:hAnsi="仿宋" w:eastAsia="仿宋"/>
          <w:b/>
          <w:bCs/>
          <w:sz w:val="32"/>
          <w:szCs w:val="32"/>
        </w:rPr>
      </w:pPr>
      <w:r>
        <w:rPr>
          <w:rFonts w:hint="eastAsia" w:ascii="仿宋" w:hAnsi="仿宋" w:eastAsia="仿宋"/>
          <w:b/>
          <w:bCs/>
          <w:color w:val="000000"/>
          <w:sz w:val="32"/>
          <w:szCs w:val="32"/>
          <w:lang w:eastAsia="zh-CN"/>
        </w:rPr>
        <w:t>全市两级法院</w:t>
      </w:r>
      <w:r>
        <w:rPr>
          <w:rFonts w:hint="eastAsia" w:ascii="仿宋" w:hAnsi="仿宋" w:eastAsia="仿宋"/>
          <w:b/>
          <w:bCs/>
          <w:color w:val="000000"/>
          <w:sz w:val="32"/>
          <w:szCs w:val="32"/>
        </w:rPr>
        <w:t>全体干警</w:t>
      </w:r>
      <w:r>
        <w:rPr>
          <w:rFonts w:hint="eastAsia" w:ascii="仿宋" w:hAnsi="仿宋" w:eastAsia="仿宋"/>
          <w:b/>
          <w:bCs/>
          <w:color w:val="000000"/>
          <w:sz w:val="32"/>
          <w:szCs w:val="32"/>
          <w:lang w:eastAsia="zh-CN"/>
        </w:rPr>
        <w:t>（含文员）</w:t>
      </w:r>
      <w:r>
        <w:rPr>
          <w:rFonts w:hint="eastAsia" w:ascii="仿宋" w:hAnsi="仿宋" w:eastAsia="仿宋"/>
          <w:b/>
          <w:bCs/>
          <w:color w:val="000000"/>
          <w:sz w:val="32"/>
          <w:szCs w:val="32"/>
        </w:rPr>
        <w:t>。</w:t>
      </w:r>
      <w:r>
        <w:rPr>
          <w:rFonts w:hint="eastAsia" w:ascii="仿宋" w:hAnsi="仿宋" w:eastAsia="仿宋"/>
          <w:b/>
          <w:bCs/>
          <w:sz w:val="32"/>
          <w:szCs w:val="32"/>
        </w:rPr>
        <w:t xml:space="preserve"> </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、培训要求</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eastAsia="zh-CN"/>
        </w:rPr>
        <w:t>各部门内勤、各院培训联络员要督促本单位参训学员</w:t>
      </w:r>
      <w:r>
        <w:rPr>
          <w:rFonts w:hint="eastAsia" w:ascii="仿宋" w:hAnsi="仿宋" w:eastAsia="仿宋"/>
          <w:sz w:val="32"/>
          <w:szCs w:val="32"/>
          <w:lang w:val="en-US" w:eastAsia="zh-CN"/>
        </w:rPr>
        <w:t>用手机或电脑下载钉钉软件注册</w:t>
      </w:r>
      <w:r>
        <w:rPr>
          <w:rFonts w:hint="eastAsia" w:ascii="仿宋" w:hAnsi="仿宋" w:eastAsia="仿宋"/>
          <w:sz w:val="32"/>
          <w:szCs w:val="32"/>
        </w:rPr>
        <w:t>，</w:t>
      </w:r>
      <w:r>
        <w:rPr>
          <w:rFonts w:hint="eastAsia" w:ascii="仿宋" w:hAnsi="仿宋" w:eastAsia="仿宋"/>
          <w:sz w:val="32"/>
          <w:szCs w:val="32"/>
          <w:lang w:val="en-US" w:eastAsia="zh-CN"/>
        </w:rPr>
        <w:t>并扫描二维码</w:t>
      </w:r>
      <w:r>
        <w:rPr>
          <w:rFonts w:hint="eastAsia" w:ascii="仿宋" w:hAnsi="仿宋" w:eastAsia="仿宋"/>
          <w:b/>
          <w:bCs/>
          <w:sz w:val="32"/>
          <w:szCs w:val="32"/>
          <w:lang w:val="en-US" w:eastAsia="zh-CN"/>
        </w:rPr>
        <w:t>进入</w:t>
      </w:r>
      <w:r>
        <w:rPr>
          <w:rFonts w:hint="eastAsia" w:ascii="仿宋" w:hAnsi="仿宋" w:eastAsia="仿宋"/>
          <w:b/>
          <w:bCs/>
          <w:sz w:val="32"/>
          <w:szCs w:val="32"/>
        </w:rPr>
        <w:t>“全省法院规范化管理培训班”</w:t>
      </w:r>
      <w:r>
        <w:rPr>
          <w:rFonts w:hint="eastAsia" w:ascii="仿宋" w:hAnsi="仿宋" w:eastAsia="仿宋"/>
          <w:b/>
          <w:bCs/>
          <w:sz w:val="32"/>
          <w:szCs w:val="32"/>
          <w:lang w:val="en-US" w:eastAsia="zh-CN"/>
        </w:rPr>
        <w:t>群。</w:t>
      </w:r>
      <w:r>
        <w:rPr>
          <w:rFonts w:hint="eastAsia"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2.方法步骤。</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步骤一：下载软件，打开手机软件商店或应用宝搜索“钉钉”，下载软件并安装。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步骤二：注册登录，通过输入手机号，收到验证码按时限输入，设置密码并牢记，通过支付宝或身份证实名认证，完成注册。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步骤三：打开钉钉软件点击右上角加号，再点击扫一扫，扫描“全省法院规范化管理培训班”二维码入群，即可观看直播授课。</w:t>
      </w:r>
    </w:p>
    <w:p>
      <w:pPr>
        <w:spacing w:line="360" w:lineRule="auto"/>
        <w:ind w:firstLine="640" w:firstLineChars="200"/>
        <w:jc w:val="left"/>
        <w:rPr>
          <w:rFonts w:ascii="仿宋" w:hAnsi="仿宋" w:eastAsia="仿宋"/>
          <w:sz w:val="32"/>
          <w:szCs w:val="32"/>
        </w:rPr>
      </w:pPr>
      <w:r>
        <w:rPr>
          <w:rFonts w:ascii="仿宋" w:hAnsi="仿宋" w:eastAsia="仿宋"/>
          <w:sz w:val="32"/>
          <w:szCs w:val="32"/>
        </w:rPr>
        <w:drawing>
          <wp:inline distT="0" distB="0" distL="0" distR="0">
            <wp:extent cx="1195070" cy="1696720"/>
            <wp:effectExtent l="0" t="0" r="5080" b="17780"/>
            <wp:docPr id="20" name="图片 19" descr="C:\Users\Administrator\Desktop\微信图片_2020041005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C:\Users\Administrator\Desktop\微信图片_20200410052244.jpg"/>
                    <pic:cNvPicPr>
                      <a:picLocks noChangeAspect="1" noChangeArrowheads="1"/>
                    </pic:cNvPicPr>
                  </pic:nvPicPr>
                  <pic:blipFill>
                    <a:blip r:embed="rId6"/>
                    <a:srcRect/>
                    <a:stretch>
                      <a:fillRect/>
                    </a:stretch>
                  </pic:blipFill>
                  <pic:spPr>
                    <a:xfrm>
                      <a:off x="0" y="0"/>
                      <a:ext cx="1195601" cy="1696720"/>
                    </a:xfrm>
                    <a:prstGeom prst="rect">
                      <a:avLst/>
                    </a:prstGeom>
                    <a:noFill/>
                    <a:ln w="9525">
                      <a:noFill/>
                      <a:miter lim="800000"/>
                      <a:headEnd/>
                      <a:tailEnd/>
                    </a:ln>
                  </pic:spPr>
                </pic:pic>
              </a:graphicData>
            </a:graphic>
          </wp:inline>
        </w:drawing>
      </w:r>
      <w:r>
        <w:rPr>
          <w:rFonts w:ascii="仿宋" w:hAnsi="仿宋" w:eastAsia="仿宋"/>
          <w:sz w:val="32"/>
          <w:szCs w:val="32"/>
        </w:rPr>
        <w:drawing>
          <wp:inline distT="0" distB="0" distL="0" distR="0">
            <wp:extent cx="1132205" cy="1652905"/>
            <wp:effectExtent l="0" t="0" r="10795" b="4445"/>
            <wp:docPr id="21" name="图片 20" descr="C:\Users\Administrator\Desktop\微信图片_2020041005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C:\Users\Administrator\Desktop\微信图片_20200410052251.jpg"/>
                    <pic:cNvPicPr>
                      <a:picLocks noChangeAspect="1" noChangeArrowheads="1"/>
                    </pic:cNvPicPr>
                  </pic:nvPicPr>
                  <pic:blipFill>
                    <a:blip r:embed="rId7"/>
                    <a:srcRect/>
                    <a:stretch>
                      <a:fillRect/>
                    </a:stretch>
                  </pic:blipFill>
                  <pic:spPr>
                    <a:xfrm>
                      <a:off x="0" y="0"/>
                      <a:ext cx="1137586" cy="1652905"/>
                    </a:xfrm>
                    <a:prstGeom prst="rect">
                      <a:avLst/>
                    </a:prstGeom>
                    <a:noFill/>
                    <a:ln w="9525">
                      <a:noFill/>
                      <a:miter lim="800000"/>
                      <a:headEnd/>
                      <a:tailEnd/>
                    </a:ln>
                  </pic:spPr>
                </pic:pic>
              </a:graphicData>
            </a:graphic>
          </wp:inline>
        </w:drawing>
      </w:r>
      <w:r>
        <w:rPr>
          <w:rFonts w:ascii="仿宋" w:hAnsi="仿宋" w:eastAsia="仿宋"/>
          <w:sz w:val="32"/>
          <w:szCs w:val="32"/>
        </w:rPr>
        <w:drawing>
          <wp:inline distT="0" distB="0" distL="0" distR="0">
            <wp:extent cx="1118870" cy="1680845"/>
            <wp:effectExtent l="0" t="0" r="5080" b="14605"/>
            <wp:docPr id="22" name="图片 21" descr="C:\Users\Administrator\Desktop\微信图片_20200410052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C:\Users\Administrator\Desktop\微信图片_20200410052259.jpg"/>
                    <pic:cNvPicPr>
                      <a:picLocks noChangeAspect="1" noChangeArrowheads="1"/>
                    </pic:cNvPicPr>
                  </pic:nvPicPr>
                  <pic:blipFill>
                    <a:blip r:embed="rId8"/>
                    <a:srcRect/>
                    <a:stretch>
                      <a:fillRect/>
                    </a:stretch>
                  </pic:blipFill>
                  <pic:spPr>
                    <a:xfrm>
                      <a:off x="0" y="0"/>
                      <a:ext cx="1129391" cy="1680845"/>
                    </a:xfrm>
                    <a:prstGeom prst="rect">
                      <a:avLst/>
                    </a:prstGeom>
                    <a:noFill/>
                    <a:ln w="9525">
                      <a:noFill/>
                      <a:miter lim="800000"/>
                      <a:headEnd/>
                      <a:tailEnd/>
                    </a:ln>
                  </pic:spPr>
                </pic:pic>
              </a:graphicData>
            </a:graphic>
          </wp:inline>
        </w:drawing>
      </w:r>
      <w:r>
        <w:rPr>
          <w:rFonts w:ascii="仿宋" w:hAnsi="仿宋" w:eastAsia="仿宋"/>
          <w:sz w:val="32"/>
          <w:szCs w:val="32"/>
        </w:rPr>
        <w:drawing>
          <wp:inline distT="0" distB="0" distL="0" distR="0">
            <wp:extent cx="1189355" cy="1703705"/>
            <wp:effectExtent l="0" t="0" r="10795" b="10795"/>
            <wp:docPr id="23" name="图片 22" descr="C:\Users\Administrator\Desktop\微信图片_2020041005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C:\Users\Administrator\Desktop\微信图片_20200410052307.jpg"/>
                    <pic:cNvPicPr>
                      <a:picLocks noChangeAspect="1" noChangeArrowheads="1"/>
                    </pic:cNvPicPr>
                  </pic:nvPicPr>
                  <pic:blipFill>
                    <a:blip r:embed="rId9"/>
                    <a:srcRect/>
                    <a:stretch>
                      <a:fillRect/>
                    </a:stretch>
                  </pic:blipFill>
                  <pic:spPr>
                    <a:xfrm>
                      <a:off x="0" y="0"/>
                      <a:ext cx="1194942" cy="1703705"/>
                    </a:xfrm>
                    <a:prstGeom prst="rect">
                      <a:avLst/>
                    </a:prstGeom>
                    <a:noFill/>
                    <a:ln w="9525">
                      <a:noFill/>
                      <a:miter lim="800000"/>
                      <a:headEnd/>
                      <a:tailEnd/>
                    </a:ln>
                  </pic:spPr>
                </pic:pic>
              </a:graphicData>
            </a:graphic>
          </wp:inline>
        </w:drawing>
      </w:r>
    </w:p>
    <w:p>
      <w:pPr>
        <w:spacing w:line="360" w:lineRule="auto"/>
        <w:ind w:firstLine="960" w:firstLineChars="300"/>
        <w:jc w:val="left"/>
        <w:rPr>
          <w:rFonts w:ascii="仿宋" w:hAnsi="仿宋" w:eastAsia="仿宋"/>
          <w:sz w:val="32"/>
          <w:szCs w:val="32"/>
        </w:rPr>
      </w:pPr>
      <w:r>
        <w:rPr>
          <w:rFonts w:ascii="仿宋" w:hAnsi="仿宋" w:eastAsia="仿宋"/>
          <w:sz w:val="32"/>
          <w:szCs w:val="32"/>
        </w:rPr>
        <w:drawing>
          <wp:inline distT="0" distB="0" distL="0" distR="0">
            <wp:extent cx="1222375" cy="1648460"/>
            <wp:effectExtent l="0" t="0" r="15875" b="8890"/>
            <wp:docPr id="24" name="图片 23" descr="C:\Users\Administrator\Desktop\微信图片_2020041005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C:\Users\Administrator\Desktop\微信图片_20200410052322.jpg"/>
                    <pic:cNvPicPr>
                      <a:picLocks noChangeAspect="1" noChangeArrowheads="1"/>
                    </pic:cNvPicPr>
                  </pic:nvPicPr>
                  <pic:blipFill>
                    <a:blip r:embed="rId10"/>
                    <a:srcRect/>
                    <a:stretch>
                      <a:fillRect/>
                    </a:stretch>
                  </pic:blipFill>
                  <pic:spPr>
                    <a:xfrm>
                      <a:off x="0" y="0"/>
                      <a:ext cx="1228299" cy="1648460"/>
                    </a:xfrm>
                    <a:prstGeom prst="rect">
                      <a:avLst/>
                    </a:prstGeom>
                    <a:noFill/>
                    <a:ln w="9525">
                      <a:noFill/>
                      <a:miter lim="800000"/>
                      <a:headEnd/>
                      <a:tailEnd/>
                    </a:ln>
                  </pic:spPr>
                </pic:pic>
              </a:graphicData>
            </a:graphic>
          </wp:inline>
        </w:drawing>
      </w:r>
      <w:r>
        <w:rPr>
          <w:rFonts w:ascii="仿宋" w:hAnsi="仿宋" w:eastAsia="仿宋"/>
          <w:sz w:val="32"/>
          <w:szCs w:val="32"/>
        </w:rPr>
        <w:drawing>
          <wp:inline distT="0" distB="0" distL="0" distR="0">
            <wp:extent cx="1118870" cy="1565910"/>
            <wp:effectExtent l="0" t="0" r="5080" b="15240"/>
            <wp:docPr id="25" name="图片 24" descr="C:\Users\Administrator\Desktop\微信图片_2020041005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C:\Users\Administrator\Desktop\微信图片_20200410052329.jpg"/>
                    <pic:cNvPicPr>
                      <a:picLocks noChangeAspect="1" noChangeArrowheads="1"/>
                    </pic:cNvPicPr>
                  </pic:nvPicPr>
                  <pic:blipFill>
                    <a:blip r:embed="rId11"/>
                    <a:srcRect/>
                    <a:stretch>
                      <a:fillRect/>
                    </a:stretch>
                  </pic:blipFill>
                  <pic:spPr>
                    <a:xfrm>
                      <a:off x="0" y="0"/>
                      <a:ext cx="1140427" cy="1565910"/>
                    </a:xfrm>
                    <a:prstGeom prst="rect">
                      <a:avLst/>
                    </a:prstGeom>
                    <a:noFill/>
                    <a:ln w="9525">
                      <a:noFill/>
                      <a:miter lim="800000"/>
                      <a:headEnd/>
                      <a:tailEnd/>
                    </a:ln>
                  </pic:spPr>
                </pic:pic>
              </a:graphicData>
            </a:graphic>
          </wp:inline>
        </w:drawing>
      </w:r>
      <w:r>
        <w:rPr>
          <w:rFonts w:ascii="仿宋" w:hAnsi="仿宋" w:eastAsia="仿宋"/>
          <w:sz w:val="32"/>
          <w:szCs w:val="32"/>
        </w:rPr>
        <w:drawing>
          <wp:inline distT="0" distB="0" distL="0" distR="0">
            <wp:extent cx="1118870" cy="1546225"/>
            <wp:effectExtent l="0" t="0" r="5080" b="15875"/>
            <wp:docPr id="26" name="图片 25" descr="C:\Users\Administrator\Desktop\微信图片_20200410052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C:\Users\Administrator\Desktop\微信图片_20200410052335.jpg"/>
                    <pic:cNvPicPr>
                      <a:picLocks noChangeAspect="1" noChangeArrowheads="1"/>
                    </pic:cNvPicPr>
                  </pic:nvPicPr>
                  <pic:blipFill>
                    <a:blip r:embed="rId12"/>
                    <a:srcRect/>
                    <a:stretch>
                      <a:fillRect/>
                    </a:stretch>
                  </pic:blipFill>
                  <pic:spPr>
                    <a:xfrm>
                      <a:off x="0" y="0"/>
                      <a:ext cx="1129392" cy="1546225"/>
                    </a:xfrm>
                    <a:prstGeom prst="rect">
                      <a:avLst/>
                    </a:prstGeom>
                    <a:noFill/>
                    <a:ln w="9525">
                      <a:noFill/>
                      <a:miter lim="800000"/>
                      <a:headEnd/>
                      <a:tailEnd/>
                    </a:ln>
                  </pic:spPr>
                </pic:pic>
              </a:graphicData>
            </a:graphic>
          </wp:inline>
        </w:drawing>
      </w:r>
      <w:r>
        <w:rPr>
          <w:rFonts w:ascii="仿宋" w:hAnsi="仿宋" w:eastAsia="仿宋"/>
          <w:sz w:val="32"/>
          <w:szCs w:val="32"/>
        </w:rPr>
        <w:drawing>
          <wp:inline distT="0" distB="0" distL="0" distR="0">
            <wp:extent cx="1079500" cy="1525905"/>
            <wp:effectExtent l="0" t="0" r="6350" b="17145"/>
            <wp:docPr id="27" name="图片 26" descr="C:\Users\Administrator\Desktop\微信图片_2020041005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descr="C:\Users\Administrator\Desktop\微信图片_20200410052341.jpg"/>
                    <pic:cNvPicPr>
                      <a:picLocks noChangeAspect="1" noChangeArrowheads="1"/>
                    </pic:cNvPicPr>
                  </pic:nvPicPr>
                  <pic:blipFill>
                    <a:blip r:embed="rId13"/>
                    <a:srcRect/>
                    <a:stretch>
                      <a:fillRect/>
                    </a:stretch>
                  </pic:blipFill>
                  <pic:spPr>
                    <a:xfrm>
                      <a:off x="0" y="0"/>
                      <a:ext cx="1080000" cy="152590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b/>
          <w:bCs/>
          <w:sz w:val="32"/>
          <w:szCs w:val="32"/>
          <w:lang w:val="en-US" w:eastAsia="zh-CN"/>
        </w:rPr>
        <w:t>请参训学员务必于</w:t>
      </w:r>
      <w:r>
        <w:rPr>
          <w:rFonts w:hint="default" w:ascii="仿宋" w:hAnsi="仿宋" w:eastAsia="仿宋"/>
          <w:b/>
          <w:bCs/>
          <w:sz w:val="32"/>
          <w:szCs w:val="32"/>
          <w:lang w:eastAsia="zh-CN"/>
        </w:rPr>
        <w:t>4</w:t>
      </w:r>
      <w:r>
        <w:rPr>
          <w:rFonts w:hint="eastAsia" w:ascii="仿宋" w:hAnsi="仿宋" w:eastAsia="仿宋"/>
          <w:b/>
          <w:bCs/>
          <w:sz w:val="32"/>
          <w:szCs w:val="32"/>
          <w:lang w:val="en-US" w:eastAsia="zh-CN"/>
        </w:rPr>
        <w:t>月13日（本周一）下班前完成软件注册并扫描二维码进入</w:t>
      </w:r>
      <w:r>
        <w:rPr>
          <w:rFonts w:hint="eastAsia" w:ascii="仿宋" w:hAnsi="仿宋" w:eastAsia="仿宋"/>
          <w:b/>
          <w:bCs/>
          <w:sz w:val="32"/>
          <w:szCs w:val="32"/>
        </w:rPr>
        <w:t>“全省法院规范化管理（第一期）培训班”群</w:t>
      </w:r>
      <w:r>
        <w:rPr>
          <w:rFonts w:hint="eastAsia" w:ascii="仿宋" w:hAnsi="仿宋" w:eastAsia="仿宋"/>
          <w:b/>
          <w:bCs/>
          <w:sz w:val="32"/>
          <w:szCs w:val="32"/>
          <w:lang w:val="en-US" w:eastAsia="zh-CN"/>
        </w:rPr>
        <w:t>。</w:t>
      </w:r>
      <w:r>
        <w:rPr>
          <w:rFonts w:hint="default" w:ascii="仿宋" w:hAnsi="仿宋" w:eastAsia="仿宋"/>
          <w:sz w:val="32"/>
          <w:szCs w:val="32"/>
        </w:rPr>
        <w:t>4</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r>
        <w:rPr>
          <w:rFonts w:hint="eastAsia" w:ascii="仿宋" w:hAnsi="仿宋" w:eastAsia="仿宋"/>
          <w:sz w:val="32"/>
          <w:szCs w:val="32"/>
          <w:lang w:eastAsia="zh-CN"/>
        </w:rPr>
        <w:t>本周三</w:t>
      </w:r>
      <w:r>
        <w:rPr>
          <w:rFonts w:hint="eastAsia" w:ascii="仿宋" w:hAnsi="仿宋" w:eastAsia="仿宋"/>
          <w:sz w:val="32"/>
          <w:szCs w:val="32"/>
        </w:rPr>
        <w:t>）</w:t>
      </w:r>
      <w:r>
        <w:rPr>
          <w:rFonts w:hint="eastAsia" w:ascii="仿宋" w:hAnsi="仿宋" w:eastAsia="仿宋"/>
          <w:sz w:val="32"/>
          <w:szCs w:val="32"/>
          <w:lang w:val="en-US" w:eastAsia="zh-CN"/>
        </w:rPr>
        <w:t>13</w:t>
      </w:r>
      <w:r>
        <w:rPr>
          <w:rFonts w:ascii="仿宋" w:hAnsi="仿宋" w:eastAsia="仿宋"/>
          <w:sz w:val="32"/>
          <w:szCs w:val="32"/>
        </w:rPr>
        <w:t>:30</w:t>
      </w:r>
      <w:r>
        <w:rPr>
          <w:rFonts w:hint="eastAsia" w:ascii="仿宋" w:hAnsi="仿宋" w:eastAsia="仿宋"/>
          <w:sz w:val="32"/>
          <w:szCs w:val="32"/>
          <w:lang w:eastAsia="zh-CN"/>
        </w:rPr>
        <w:t>培训</w:t>
      </w:r>
      <w:r>
        <w:rPr>
          <w:rFonts w:hint="eastAsia" w:ascii="仿宋" w:hAnsi="仿宋" w:eastAsia="仿宋"/>
          <w:sz w:val="32"/>
          <w:szCs w:val="32"/>
          <w:lang w:val="en-US" w:eastAsia="zh-CN"/>
        </w:rPr>
        <w:t>开播</w:t>
      </w:r>
      <w:r>
        <w:rPr>
          <w:rFonts w:hint="eastAsia" w:ascii="仿宋" w:hAnsi="仿宋" w:eastAsia="仿宋"/>
          <w:sz w:val="32"/>
          <w:szCs w:val="32"/>
        </w:rPr>
        <w:t>，请参加培训学员确保网络安全畅通，</w:t>
      </w:r>
      <w:r>
        <w:rPr>
          <w:rFonts w:hint="eastAsia" w:ascii="仿宋" w:hAnsi="仿宋" w:eastAsia="仿宋"/>
          <w:b/>
          <w:bCs/>
          <w:sz w:val="32"/>
          <w:szCs w:val="32"/>
        </w:rPr>
        <w:t>提前登录钉钉进入培训群，更改群内名称为单位+姓名，点击签到观看直播授课。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4.各院技术部门要提供技术保障并指导参训学员下载钉钉软件完成注册，加入</w:t>
      </w:r>
      <w:r>
        <w:rPr>
          <w:rFonts w:hint="eastAsia" w:ascii="仿宋" w:hAnsi="仿宋" w:eastAsia="仿宋"/>
          <w:sz w:val="32"/>
          <w:szCs w:val="32"/>
        </w:rPr>
        <w:t>培训</w:t>
      </w:r>
      <w:r>
        <w:rPr>
          <w:rFonts w:hint="eastAsia" w:ascii="仿宋" w:hAnsi="仿宋" w:eastAsia="仿宋"/>
          <w:sz w:val="32"/>
          <w:szCs w:val="32"/>
          <w:lang w:val="en-US" w:eastAsia="zh-CN"/>
        </w:rPr>
        <w:t>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5.各部门内勤、各院培训联络员</w:t>
      </w:r>
      <w:r>
        <w:rPr>
          <w:rFonts w:hint="eastAsia" w:ascii="仿宋" w:hAnsi="仿宋" w:eastAsia="仿宋"/>
          <w:b/>
          <w:bCs/>
          <w:sz w:val="32"/>
          <w:szCs w:val="32"/>
          <w:lang w:val="en-US" w:eastAsia="zh-CN"/>
        </w:rPr>
        <w:t>于4月13日（本周一）下班前</w:t>
      </w:r>
      <w:r>
        <w:rPr>
          <w:rFonts w:hint="eastAsia" w:ascii="仿宋" w:hAnsi="仿宋" w:eastAsia="仿宋"/>
          <w:sz w:val="32"/>
          <w:szCs w:val="32"/>
          <w:lang w:val="en-US" w:eastAsia="zh-CN"/>
        </w:rPr>
        <w:t>将本单位</w:t>
      </w:r>
      <w:r>
        <w:rPr>
          <w:rFonts w:hint="eastAsia" w:ascii="仿宋" w:hAnsi="仿宋" w:eastAsia="仿宋"/>
          <w:b/>
          <w:bCs/>
          <w:sz w:val="32"/>
          <w:szCs w:val="32"/>
          <w:lang w:val="en-US" w:eastAsia="zh-CN"/>
        </w:rPr>
        <w:t>参训人数</w:t>
      </w:r>
      <w:r>
        <w:rPr>
          <w:rFonts w:hint="eastAsia" w:ascii="仿宋" w:hAnsi="仿宋" w:eastAsia="仿宋"/>
          <w:sz w:val="32"/>
          <w:szCs w:val="32"/>
          <w:lang w:val="en-US" w:eastAsia="zh-CN"/>
        </w:rPr>
        <w:t>汇总后报中院宣教处齐文聪处。</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省法官学院</w:t>
      </w:r>
      <w:r>
        <w:rPr>
          <w:rFonts w:hint="eastAsia" w:ascii="仿宋" w:hAnsi="仿宋" w:eastAsia="仿宋"/>
          <w:sz w:val="32"/>
          <w:szCs w:val="32"/>
        </w:rPr>
        <w:t>联系人：高晓宏、</w:t>
      </w:r>
      <w:r>
        <w:rPr>
          <w:rFonts w:ascii="仿宋" w:hAnsi="仿宋" w:eastAsia="仿宋"/>
          <w:sz w:val="32"/>
          <w:szCs w:val="32"/>
        </w:rPr>
        <w:t>杨</w:t>
      </w:r>
      <w:r>
        <w:rPr>
          <w:rFonts w:hint="eastAsia" w:ascii="仿宋" w:hAnsi="仿宋" w:eastAsia="仿宋"/>
          <w:sz w:val="32"/>
          <w:szCs w:val="32"/>
        </w:rPr>
        <w:t>飞、</w:t>
      </w:r>
      <w:r>
        <w:rPr>
          <w:rFonts w:ascii="仿宋" w:hAnsi="仿宋" w:eastAsia="仿宋"/>
          <w:sz w:val="32"/>
          <w:szCs w:val="32"/>
        </w:rPr>
        <w:t>付</w:t>
      </w:r>
      <w:r>
        <w:rPr>
          <w:rFonts w:hint="eastAsia" w:ascii="仿宋" w:hAnsi="仿宋" w:eastAsia="仿宋"/>
          <w:sz w:val="32"/>
          <w:szCs w:val="32"/>
        </w:rPr>
        <w:t>桐赫</w:t>
      </w:r>
    </w:p>
    <w:p>
      <w:pPr>
        <w:spacing w:line="360" w:lineRule="auto"/>
        <w:ind w:firstLine="600"/>
        <w:rPr>
          <w:rFonts w:hint="eastAsia" w:ascii="仿宋" w:hAnsi="仿宋" w:eastAsia="仿宋"/>
          <w:sz w:val="32"/>
          <w:szCs w:val="32"/>
        </w:rPr>
      </w:pPr>
      <w:r>
        <w:rPr>
          <w:rFonts w:hint="eastAsia" w:ascii="仿宋" w:hAnsi="仿宋" w:eastAsia="仿宋"/>
          <w:sz w:val="32"/>
          <w:szCs w:val="32"/>
        </w:rPr>
        <w:t>电</w:t>
      </w:r>
      <w:r>
        <w:rPr>
          <w:rFonts w:ascii="仿宋" w:hAnsi="仿宋" w:eastAsia="仿宋"/>
          <w:sz w:val="32"/>
          <w:szCs w:val="32"/>
        </w:rPr>
        <w:t xml:space="preserve">  </w:t>
      </w:r>
      <w:r>
        <w:rPr>
          <w:rFonts w:hint="eastAsia" w:ascii="仿宋" w:hAnsi="仿宋" w:eastAsia="仿宋"/>
          <w:sz w:val="32"/>
          <w:szCs w:val="32"/>
        </w:rPr>
        <w:t>话：13504487623、18510170906、18686643201</w:t>
      </w:r>
    </w:p>
    <w:p>
      <w:pPr>
        <w:spacing w:line="360" w:lineRule="auto"/>
        <w:ind w:firstLine="600"/>
        <w:rPr>
          <w:rFonts w:hint="eastAsia" w:ascii="仿宋" w:hAnsi="仿宋" w:eastAsia="仿宋"/>
          <w:sz w:val="32"/>
          <w:szCs w:val="32"/>
          <w:lang w:eastAsia="zh-CN"/>
        </w:rPr>
      </w:pPr>
      <w:r>
        <w:rPr>
          <w:rFonts w:hint="eastAsia" w:ascii="仿宋" w:hAnsi="仿宋" w:eastAsia="仿宋"/>
          <w:sz w:val="32"/>
          <w:szCs w:val="32"/>
          <w:lang w:eastAsia="zh-CN"/>
        </w:rPr>
        <w:t>市法院培训联络员：齐文聪</w:t>
      </w:r>
    </w:p>
    <w:p>
      <w:pPr>
        <w:spacing w:line="360" w:lineRule="auto"/>
        <w:ind w:firstLine="600"/>
        <w:rPr>
          <w:rFonts w:hint="default" w:ascii="仿宋" w:hAnsi="仿宋" w:eastAsia="仿宋"/>
          <w:sz w:val="32"/>
          <w:szCs w:val="32"/>
          <w:lang w:val="en-US" w:eastAsia="zh-CN"/>
        </w:rPr>
      </w:pPr>
      <w:r>
        <w:rPr>
          <w:rFonts w:hint="eastAsia" w:ascii="仿宋" w:hAnsi="仿宋" w:eastAsia="仿宋"/>
          <w:sz w:val="32"/>
          <w:szCs w:val="32"/>
          <w:lang w:eastAsia="zh-CN"/>
        </w:rPr>
        <w:t>电</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话：</w:t>
      </w:r>
      <w:r>
        <w:rPr>
          <w:rFonts w:hint="eastAsia" w:ascii="仿宋" w:hAnsi="仿宋" w:eastAsia="仿宋"/>
          <w:sz w:val="32"/>
          <w:szCs w:val="32"/>
          <w:lang w:val="en-US" w:eastAsia="zh-CN"/>
        </w:rPr>
        <w:t>13644405802/88558201</w:t>
      </w:r>
    </w:p>
    <w:p>
      <w:pPr>
        <w:spacing w:line="360" w:lineRule="auto"/>
        <w:ind w:firstLine="600"/>
        <w:jc w:val="right"/>
        <w:rPr>
          <w:rFonts w:ascii="仿宋" w:hAnsi="仿宋" w:eastAsia="仿宋"/>
          <w:sz w:val="32"/>
          <w:szCs w:val="32"/>
        </w:rPr>
      </w:pPr>
    </w:p>
    <w:p>
      <w:pPr>
        <w:spacing w:line="360" w:lineRule="auto"/>
        <w:ind w:firstLine="600"/>
        <w:jc w:val="right"/>
        <w:rPr>
          <w:rFonts w:ascii="仿宋" w:hAnsi="仿宋" w:eastAsia="仿宋"/>
          <w:sz w:val="32"/>
          <w:szCs w:val="32"/>
        </w:rPr>
      </w:pPr>
    </w:p>
    <w:p>
      <w:pPr>
        <w:spacing w:line="360" w:lineRule="auto"/>
        <w:ind w:firstLine="600"/>
        <w:jc w:val="right"/>
        <w:rPr>
          <w:rFonts w:ascii="仿宋" w:hAnsi="仿宋" w:eastAsia="仿宋"/>
          <w:sz w:val="32"/>
          <w:szCs w:val="32"/>
        </w:rPr>
      </w:pPr>
    </w:p>
    <w:p>
      <w:pPr>
        <w:spacing w:line="360" w:lineRule="auto"/>
        <w:ind w:firstLine="600"/>
        <w:jc w:val="right"/>
        <w:rPr>
          <w:rFonts w:ascii="仿宋" w:hAnsi="仿宋" w:eastAsia="仿宋"/>
          <w:sz w:val="32"/>
          <w:szCs w:val="32"/>
        </w:rPr>
      </w:pPr>
      <w:bookmarkStart w:id="0" w:name="_GoBack"/>
      <w:bookmarkEnd w:id="0"/>
    </w:p>
    <w:p>
      <w:pPr>
        <w:spacing w:line="360" w:lineRule="auto"/>
        <w:ind w:firstLine="600"/>
        <w:jc w:val="cente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市法院政治部</w:t>
      </w:r>
    </w:p>
    <w:p>
      <w:pPr>
        <w:tabs>
          <w:tab w:val="left" w:pos="8080"/>
        </w:tabs>
        <w:spacing w:line="360" w:lineRule="auto"/>
        <w:ind w:right="600" w:firstLine="600"/>
        <w:jc w:val="cente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2020</w:t>
      </w:r>
      <w:r>
        <w:rPr>
          <w:rFonts w:hint="eastAsia" w:ascii="仿宋" w:hAnsi="仿宋" w:eastAsia="仿宋" w:cs="仿宋_GB2312"/>
          <w:sz w:val="32"/>
          <w:szCs w:val="32"/>
        </w:rPr>
        <w:t>年4月</w:t>
      </w:r>
      <w:r>
        <w:rPr>
          <w:rFonts w:hint="eastAsia" w:ascii="仿宋" w:hAnsi="仿宋" w:eastAsia="仿宋" w:cs="仿宋_GB2312"/>
          <w:sz w:val="32"/>
          <w:szCs w:val="32"/>
          <w:lang w:val="en-US" w:eastAsia="zh-CN"/>
        </w:rPr>
        <w:t>13</w:t>
      </w:r>
      <w:r>
        <w:rPr>
          <w:rFonts w:hint="eastAsia" w:ascii="仿宋" w:hAnsi="仿宋" w:eastAsia="仿宋" w:cs="仿宋_GB2312"/>
          <w:sz w:val="32"/>
          <w:szCs w:val="32"/>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t xml:space="preserve">— </w:t>
    </w: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r>
      <w:rPr>
        <w:rStyle w:val="9"/>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2"/>
    <w:rsid w:val="000010C4"/>
    <w:rsid w:val="0002126D"/>
    <w:rsid w:val="000257B8"/>
    <w:rsid w:val="0004612B"/>
    <w:rsid w:val="00061803"/>
    <w:rsid w:val="0006498A"/>
    <w:rsid w:val="00085C47"/>
    <w:rsid w:val="00086D73"/>
    <w:rsid w:val="000D7A8F"/>
    <w:rsid w:val="000F29CF"/>
    <w:rsid w:val="000F59E7"/>
    <w:rsid w:val="001352F7"/>
    <w:rsid w:val="001434E8"/>
    <w:rsid w:val="00161A89"/>
    <w:rsid w:val="001807FF"/>
    <w:rsid w:val="00183FC7"/>
    <w:rsid w:val="00193E30"/>
    <w:rsid w:val="00193EEA"/>
    <w:rsid w:val="00197436"/>
    <w:rsid w:val="001A3B5D"/>
    <w:rsid w:val="001C2E3D"/>
    <w:rsid w:val="001D7D41"/>
    <w:rsid w:val="001E7F35"/>
    <w:rsid w:val="001F747A"/>
    <w:rsid w:val="00201878"/>
    <w:rsid w:val="0023540C"/>
    <w:rsid w:val="00262615"/>
    <w:rsid w:val="00267390"/>
    <w:rsid w:val="00284A72"/>
    <w:rsid w:val="00286884"/>
    <w:rsid w:val="0029244B"/>
    <w:rsid w:val="00292B99"/>
    <w:rsid w:val="00296291"/>
    <w:rsid w:val="002A1E7C"/>
    <w:rsid w:val="002B6D56"/>
    <w:rsid w:val="002E6174"/>
    <w:rsid w:val="002E6624"/>
    <w:rsid w:val="00305E69"/>
    <w:rsid w:val="00306070"/>
    <w:rsid w:val="00311709"/>
    <w:rsid w:val="00313870"/>
    <w:rsid w:val="00326D66"/>
    <w:rsid w:val="00330C0A"/>
    <w:rsid w:val="003A3BF7"/>
    <w:rsid w:val="003B300D"/>
    <w:rsid w:val="003D3C17"/>
    <w:rsid w:val="003E2F07"/>
    <w:rsid w:val="004021AB"/>
    <w:rsid w:val="004167B5"/>
    <w:rsid w:val="004356D9"/>
    <w:rsid w:val="00451B9A"/>
    <w:rsid w:val="00454834"/>
    <w:rsid w:val="00457DC8"/>
    <w:rsid w:val="00465C09"/>
    <w:rsid w:val="0048024F"/>
    <w:rsid w:val="00487C1B"/>
    <w:rsid w:val="00496DC2"/>
    <w:rsid w:val="004B3363"/>
    <w:rsid w:val="004C7832"/>
    <w:rsid w:val="004D5AE6"/>
    <w:rsid w:val="004D7C82"/>
    <w:rsid w:val="004F20CC"/>
    <w:rsid w:val="00504B35"/>
    <w:rsid w:val="00515B71"/>
    <w:rsid w:val="005276DC"/>
    <w:rsid w:val="00530D4B"/>
    <w:rsid w:val="005506A9"/>
    <w:rsid w:val="005560C4"/>
    <w:rsid w:val="005721FD"/>
    <w:rsid w:val="005839B0"/>
    <w:rsid w:val="005A1A3D"/>
    <w:rsid w:val="005C7B92"/>
    <w:rsid w:val="005D771F"/>
    <w:rsid w:val="005F1D53"/>
    <w:rsid w:val="006107F2"/>
    <w:rsid w:val="00612870"/>
    <w:rsid w:val="006544EE"/>
    <w:rsid w:val="00684A46"/>
    <w:rsid w:val="00694140"/>
    <w:rsid w:val="00695534"/>
    <w:rsid w:val="006A0837"/>
    <w:rsid w:val="006A70EE"/>
    <w:rsid w:val="006B7733"/>
    <w:rsid w:val="006E2CDD"/>
    <w:rsid w:val="006F39C2"/>
    <w:rsid w:val="00746FC9"/>
    <w:rsid w:val="007510B9"/>
    <w:rsid w:val="00776271"/>
    <w:rsid w:val="00787664"/>
    <w:rsid w:val="00787FAE"/>
    <w:rsid w:val="007A6558"/>
    <w:rsid w:val="007B2917"/>
    <w:rsid w:val="007C4617"/>
    <w:rsid w:val="007D07D1"/>
    <w:rsid w:val="007D53C4"/>
    <w:rsid w:val="007E58BB"/>
    <w:rsid w:val="007E7AF6"/>
    <w:rsid w:val="007F0D1F"/>
    <w:rsid w:val="008002BE"/>
    <w:rsid w:val="00801504"/>
    <w:rsid w:val="008164C8"/>
    <w:rsid w:val="00822936"/>
    <w:rsid w:val="008253A0"/>
    <w:rsid w:val="008278E8"/>
    <w:rsid w:val="00827C40"/>
    <w:rsid w:val="00835935"/>
    <w:rsid w:val="00865465"/>
    <w:rsid w:val="00887AC8"/>
    <w:rsid w:val="008A31A0"/>
    <w:rsid w:val="008B007A"/>
    <w:rsid w:val="008B537D"/>
    <w:rsid w:val="008C2A15"/>
    <w:rsid w:val="008E4F80"/>
    <w:rsid w:val="0090464E"/>
    <w:rsid w:val="009063C9"/>
    <w:rsid w:val="00914771"/>
    <w:rsid w:val="009213C2"/>
    <w:rsid w:val="0092592C"/>
    <w:rsid w:val="009413DB"/>
    <w:rsid w:val="0094488B"/>
    <w:rsid w:val="0096187A"/>
    <w:rsid w:val="0099637B"/>
    <w:rsid w:val="009A4C18"/>
    <w:rsid w:val="009B0639"/>
    <w:rsid w:val="009C0B4A"/>
    <w:rsid w:val="00A04B31"/>
    <w:rsid w:val="00A25265"/>
    <w:rsid w:val="00A36DEF"/>
    <w:rsid w:val="00A50544"/>
    <w:rsid w:val="00A63258"/>
    <w:rsid w:val="00A638E1"/>
    <w:rsid w:val="00A64202"/>
    <w:rsid w:val="00A94B8C"/>
    <w:rsid w:val="00AA1EA1"/>
    <w:rsid w:val="00AC0EE9"/>
    <w:rsid w:val="00AC2DF3"/>
    <w:rsid w:val="00AC52A3"/>
    <w:rsid w:val="00B423C1"/>
    <w:rsid w:val="00B45344"/>
    <w:rsid w:val="00B52572"/>
    <w:rsid w:val="00B56FE8"/>
    <w:rsid w:val="00B84384"/>
    <w:rsid w:val="00B851B5"/>
    <w:rsid w:val="00B8679A"/>
    <w:rsid w:val="00BA29A4"/>
    <w:rsid w:val="00BC3FCE"/>
    <w:rsid w:val="00BD594D"/>
    <w:rsid w:val="00C0191C"/>
    <w:rsid w:val="00C15A8C"/>
    <w:rsid w:val="00C336D7"/>
    <w:rsid w:val="00C941FC"/>
    <w:rsid w:val="00CA1E1E"/>
    <w:rsid w:val="00CA4A3D"/>
    <w:rsid w:val="00CE2E81"/>
    <w:rsid w:val="00CF3EE0"/>
    <w:rsid w:val="00D01E12"/>
    <w:rsid w:val="00D02AF7"/>
    <w:rsid w:val="00D12310"/>
    <w:rsid w:val="00D405DB"/>
    <w:rsid w:val="00D50AD7"/>
    <w:rsid w:val="00D64164"/>
    <w:rsid w:val="00D67849"/>
    <w:rsid w:val="00D74F87"/>
    <w:rsid w:val="00D8416A"/>
    <w:rsid w:val="00D87C21"/>
    <w:rsid w:val="00D91654"/>
    <w:rsid w:val="00D928BD"/>
    <w:rsid w:val="00D9414E"/>
    <w:rsid w:val="00DC3E2A"/>
    <w:rsid w:val="00DD6660"/>
    <w:rsid w:val="00DE3F4A"/>
    <w:rsid w:val="00E03305"/>
    <w:rsid w:val="00E03961"/>
    <w:rsid w:val="00E041C9"/>
    <w:rsid w:val="00E220EB"/>
    <w:rsid w:val="00E262E3"/>
    <w:rsid w:val="00E32F21"/>
    <w:rsid w:val="00E4682A"/>
    <w:rsid w:val="00E73A23"/>
    <w:rsid w:val="00E743C8"/>
    <w:rsid w:val="00E76144"/>
    <w:rsid w:val="00E834B0"/>
    <w:rsid w:val="00E8362F"/>
    <w:rsid w:val="00EA0DF9"/>
    <w:rsid w:val="00EC7215"/>
    <w:rsid w:val="00ED4968"/>
    <w:rsid w:val="00F1146C"/>
    <w:rsid w:val="00F239B8"/>
    <w:rsid w:val="00F27ACA"/>
    <w:rsid w:val="00F32258"/>
    <w:rsid w:val="00F45B82"/>
    <w:rsid w:val="00F64619"/>
    <w:rsid w:val="00F64BA0"/>
    <w:rsid w:val="00F8405F"/>
    <w:rsid w:val="00F879BD"/>
    <w:rsid w:val="00FD189F"/>
    <w:rsid w:val="00FD609F"/>
    <w:rsid w:val="031A2BDC"/>
    <w:rsid w:val="0563332F"/>
    <w:rsid w:val="097A4BFA"/>
    <w:rsid w:val="0A1F3374"/>
    <w:rsid w:val="0AC74386"/>
    <w:rsid w:val="0F1A5557"/>
    <w:rsid w:val="0F53019B"/>
    <w:rsid w:val="16BF52BE"/>
    <w:rsid w:val="196341B5"/>
    <w:rsid w:val="1B837DC5"/>
    <w:rsid w:val="1B902F26"/>
    <w:rsid w:val="1CEA57E4"/>
    <w:rsid w:val="1D716926"/>
    <w:rsid w:val="239272C4"/>
    <w:rsid w:val="254802AC"/>
    <w:rsid w:val="26E74FBD"/>
    <w:rsid w:val="2722212B"/>
    <w:rsid w:val="281C1FD0"/>
    <w:rsid w:val="28E148E9"/>
    <w:rsid w:val="2CD910F9"/>
    <w:rsid w:val="2F70338C"/>
    <w:rsid w:val="310A3B16"/>
    <w:rsid w:val="32230777"/>
    <w:rsid w:val="32953662"/>
    <w:rsid w:val="32B451C7"/>
    <w:rsid w:val="340A0822"/>
    <w:rsid w:val="34376608"/>
    <w:rsid w:val="345A6DCC"/>
    <w:rsid w:val="39AE06A1"/>
    <w:rsid w:val="3F1513DF"/>
    <w:rsid w:val="3FCC75F4"/>
    <w:rsid w:val="4005456D"/>
    <w:rsid w:val="425E2571"/>
    <w:rsid w:val="4A2B3888"/>
    <w:rsid w:val="4BCB0F8B"/>
    <w:rsid w:val="4CFF72CF"/>
    <w:rsid w:val="4D8F3464"/>
    <w:rsid w:val="4F5B3289"/>
    <w:rsid w:val="5A7E7BCB"/>
    <w:rsid w:val="649C512B"/>
    <w:rsid w:val="6819153D"/>
    <w:rsid w:val="6B6905BF"/>
    <w:rsid w:val="6CA20E60"/>
    <w:rsid w:val="6F5A6760"/>
    <w:rsid w:val="707466CA"/>
    <w:rsid w:val="715C52EA"/>
    <w:rsid w:val="71B506EF"/>
    <w:rsid w:val="75E45D00"/>
    <w:rsid w:val="79927E36"/>
    <w:rsid w:val="7D3401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1"/>
    <w:qFormat/>
    <w:uiPriority w:val="99"/>
    <w:rPr>
      <w:rFonts w:ascii="仿宋_GB2312" w:eastAsia="仿宋_GB2312"/>
      <w:sz w:val="30"/>
      <w:szCs w:val="20"/>
    </w:rPr>
  </w:style>
  <w:style w:type="paragraph" w:styleId="3">
    <w:name w:val="Date"/>
    <w:basedOn w:val="1"/>
    <w:next w:val="1"/>
    <w:link w:val="15"/>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99"/>
    <w:rPr>
      <w:rFonts w:cs="Times New Roman"/>
    </w:rPr>
  </w:style>
  <w:style w:type="character" w:styleId="10">
    <w:name w:val="Hyperlink"/>
    <w:qFormat/>
    <w:uiPriority w:val="99"/>
    <w:rPr>
      <w:rFonts w:cs="Times New Roman"/>
      <w:color w:val="0000FF"/>
      <w:u w:val="single"/>
    </w:rPr>
  </w:style>
  <w:style w:type="character" w:customStyle="1" w:styleId="11">
    <w:name w:val="正文文本 Char"/>
    <w:link w:val="2"/>
    <w:qFormat/>
    <w:locked/>
    <w:uiPriority w:val="99"/>
    <w:rPr>
      <w:rFonts w:ascii="仿宋_GB2312" w:hAnsi="Times New Roman" w:eastAsia="仿宋_GB2312" w:cs="Times New Roman"/>
      <w:sz w:val="20"/>
      <w:szCs w:val="20"/>
    </w:rPr>
  </w:style>
  <w:style w:type="character" w:customStyle="1" w:styleId="12">
    <w:name w:val="页脚 Char"/>
    <w:link w:val="5"/>
    <w:qFormat/>
    <w:locked/>
    <w:uiPriority w:val="99"/>
    <w:rPr>
      <w:rFonts w:ascii="Times New Roman" w:hAnsi="Times New Roman" w:eastAsia="宋体" w:cs="Times New Roman"/>
      <w:sz w:val="18"/>
      <w:szCs w:val="18"/>
    </w:rPr>
  </w:style>
  <w:style w:type="character" w:customStyle="1" w:styleId="13">
    <w:name w:val="批注框文本 Char"/>
    <w:link w:val="4"/>
    <w:semiHidden/>
    <w:qFormat/>
    <w:locked/>
    <w:uiPriority w:val="99"/>
    <w:rPr>
      <w:rFonts w:ascii="Times New Roman" w:hAnsi="Times New Roman" w:eastAsia="宋体" w:cs="Times New Roman"/>
      <w:sz w:val="18"/>
      <w:szCs w:val="18"/>
    </w:rPr>
  </w:style>
  <w:style w:type="character" w:customStyle="1" w:styleId="14">
    <w:name w:val="页眉 Char"/>
    <w:link w:val="6"/>
    <w:qFormat/>
    <w:locked/>
    <w:uiPriority w:val="99"/>
    <w:rPr>
      <w:rFonts w:ascii="Times New Roman" w:hAnsi="Times New Roman" w:eastAsia="宋体" w:cs="Times New Roman"/>
      <w:sz w:val="18"/>
      <w:szCs w:val="18"/>
    </w:rPr>
  </w:style>
  <w:style w:type="character" w:customStyle="1" w:styleId="15">
    <w:name w:val="日期 Char"/>
    <w:link w:val="3"/>
    <w:semiHidden/>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66BE4C-EEEF-4463-AD37-CE40BEB0AC96}">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Pages>
  <Words>125</Words>
  <Characters>715</Characters>
  <Lines>5</Lines>
  <Paragraphs>1</Paragraphs>
  <TotalTime>4</TotalTime>
  <ScaleCrop>false</ScaleCrop>
  <LinksUpToDate>false</LinksUpToDate>
  <CharactersWithSpaces>839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2019-04-12T02:23:00Z</dcterms:created>
  <dc:creator>dan</dc:creator>
  <cp:lastModifiedBy>安宇希_ </cp:lastModifiedBy>
  <cp:lastPrinted>2020-03-09T01:15:00Z</cp:lastPrinted>
  <dcterms:modified xsi:type="dcterms:W3CDTF">2020-04-13T00:58:25Z</dcterms:modified>
  <dc:title>吉林省法官培训学院</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