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7A" w:rsidRPr="00380F65" w:rsidRDefault="00FF497A" w:rsidP="00FF497A">
      <w:pPr>
        <w:pStyle w:val="a3"/>
        <w:spacing w:line="52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80F65">
        <w:rPr>
          <w:rFonts w:ascii="Times New Roman" w:eastAsia="黑体" w:hAnsi="Times New Roman" w:cs="Times New Roman"/>
          <w:sz w:val="32"/>
          <w:szCs w:val="32"/>
        </w:rPr>
        <w:t>关于裁判文书不公开范围的说明</w:t>
      </w:r>
    </w:p>
    <w:p w:rsidR="00FF497A" w:rsidRDefault="00FF497A" w:rsidP="00FF497A">
      <w:pPr>
        <w:pStyle w:val="a3"/>
        <w:spacing w:line="5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F497A" w:rsidRPr="00380F65" w:rsidRDefault="00FF497A" w:rsidP="00FF497A">
      <w:pPr>
        <w:pStyle w:val="a3"/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（一）涉及国家秘密的；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根据《中华人民共和国保守国家秘密法》第九条规定，下列涉及国家安全和利益的事项，泄露后可能损害国家在政治、经济、国防、外交等领域的安全和利益，应当确定为国家秘密：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1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）国家事务重大决策中的秘密事项；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2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）国防建设和武装力量活动中的秘密事项；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3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）外交和外事活动中的秘密事项以及对外承担保密义务的秘密事项；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4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）国民经济和社会发展中的秘密事项；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5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）科学技术中的秘密事项；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6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）维护国家安全活动和追查刑事犯罪中的秘密事项；</w:t>
      </w:r>
    </w:p>
    <w:p w:rsidR="00FF497A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7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）经国家保密行政管理部门确定的其他秘密事项。</w:t>
      </w:r>
    </w:p>
    <w:p w:rsidR="00FF497A" w:rsidRPr="005964D8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C597D">
        <w:rPr>
          <w:rFonts w:ascii="仿宋_GB2312" w:eastAsia="仿宋_GB2312" w:hint="eastAsia"/>
          <w:sz w:val="32"/>
          <w:szCs w:val="32"/>
        </w:rPr>
        <w:t>“涉及国家秘密的”包括“间谍罪”“为境外窃取、刺探、收买、非法提供国家秘密、情报罪”“非法获取国家秘密罪”“非法持有国家绝密、机密文件、资料、物品罪”“故意泄露国家秘密罪”“过失泄露国家秘密罪”“非法获取军事秘密罪”“为境外窃取、刺探、收买、非法提供军事秘密罪”“故意泄露军事秘密罪”“过失泄露军事秘密罪”等罪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F497A" w:rsidRPr="00380F65" w:rsidRDefault="00FF497A" w:rsidP="00FF497A">
      <w:pPr>
        <w:pStyle w:val="a3"/>
        <w:spacing w:line="520" w:lineRule="exact"/>
        <w:ind w:left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（二）未成年人犯罪的；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根据《中华人民共和国刑事诉讼法》第二百七十四条和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lastRenderedPageBreak/>
        <w:t>第二百七十五条的规定，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未成年人犯罪的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应当确定为：行为人实施违法犯罪行为时不满十八周岁，其中包括未成年人与成年人共同实施违法或者犯罪行为，没有分案处理的。</w:t>
      </w:r>
    </w:p>
    <w:p w:rsidR="00FF497A" w:rsidRPr="00380F65" w:rsidRDefault="00FF497A" w:rsidP="00FF497A">
      <w:pPr>
        <w:pStyle w:val="a3"/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（三）以调解方式结案或者确认人民调解协议效力的，但为保护国家利益、社会公共利益、他人合法权益确有必要公开的除外；</w:t>
      </w:r>
    </w:p>
    <w:p w:rsidR="00FF497A" w:rsidRPr="00380F65" w:rsidRDefault="00FF497A" w:rsidP="00FF497A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以调解方式结案的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不包括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确认人民调解协议效力的，因调解当场履行、口头准许撤诉或执行和解等情形没有制作调解书、裁定书的，行政调解书，民事公益诉讼调解书，为保护国家利益、社会公共利益、他人合法权益确有必要公开的调解书。</w:t>
      </w:r>
    </w:p>
    <w:p w:rsidR="00FF497A" w:rsidRPr="00380F65" w:rsidRDefault="00FF497A" w:rsidP="00FF497A">
      <w:pPr>
        <w:pStyle w:val="a3"/>
        <w:spacing w:line="520" w:lineRule="exact"/>
        <w:ind w:firstLineChars="200" w:firstLine="640"/>
        <w:rPr>
          <w:rFonts w:ascii="Times New Roman" w:eastAsia="仿宋_GB2312" w:hAnsi="Times New Roman" w:cs="Times New Roman"/>
          <w:sz w:val="30"/>
          <w:szCs w:val="30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确认人民调解协议效力的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为特别程序作出的，裁判文书为民事裁定书。</w:t>
      </w:r>
    </w:p>
    <w:p w:rsidR="00FF497A" w:rsidRPr="00380F65" w:rsidRDefault="00FF497A" w:rsidP="00FF497A">
      <w:pPr>
        <w:pStyle w:val="a3"/>
        <w:spacing w:line="520" w:lineRule="exact"/>
        <w:ind w:left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（四）离婚诉讼或者涉及未成年子女抚养、监护的；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离婚诉讼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仅指案由为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离婚纠纷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的，不包含离婚后财产纠纷；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涉及未成年子女抚养、监护的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仅指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涉及未成年子女且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案由为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变更抚养关系纠纷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同居关系子女抚养纠纷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”、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监护权纠纷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申请确定监护人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申请变更监护人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申请撤销监护人资格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的，不包含抚养费纠纷。</w:t>
      </w:r>
    </w:p>
    <w:p w:rsidR="00FF497A" w:rsidRPr="00380F65" w:rsidRDefault="00FF497A" w:rsidP="00FF497A">
      <w:pPr>
        <w:pStyle w:val="a3"/>
        <w:spacing w:line="520" w:lineRule="exact"/>
        <w:ind w:left="720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（五）人民法院认为不宜在互联网公布的其他情形。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办案法官认为不宜在互联网公布情形的，应当提出书面意见及理由，由部门负责人审查后报主管副院长审定，并将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lastRenderedPageBreak/>
        <w:t>审批手续存卷后，可以不在互联网公布。不宜在互联网公布的其他情形应当确定为：</w:t>
      </w:r>
    </w:p>
    <w:p w:rsidR="00FF497A" w:rsidRPr="00380F65" w:rsidRDefault="00FF497A" w:rsidP="00FF497A">
      <w:pPr>
        <w:ind w:firstLine="6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1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）婚姻家庭、继承、相邻关系等案件的裁判文书，公布后可能导致矛盾激化或当事人及其他诉讼参与人生活、工作造成</w:t>
      </w: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严重困扰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的；</w:t>
      </w:r>
    </w:p>
    <w:p w:rsidR="00FF497A" w:rsidRPr="00380F65" w:rsidRDefault="00FF497A" w:rsidP="00FF497A">
      <w:pPr>
        <w:pStyle w:val="a3"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80F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2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）涉及重大政治、外交、国防、民族、宗教、社会稳定、历史遗留问题等敏感因素，可能导致出现</w:t>
      </w:r>
      <w:r w:rsidRPr="00380F65">
        <w:rPr>
          <w:rFonts w:ascii="Times New Roman" w:eastAsia="仿宋_GB2312" w:hAnsi="Times New Roman" w:cs="Times New Roman"/>
          <w:b/>
          <w:sz w:val="32"/>
          <w:szCs w:val="32"/>
        </w:rPr>
        <w:t>严重后果</w:t>
      </w:r>
      <w:r w:rsidRPr="00380F65">
        <w:rPr>
          <w:rFonts w:ascii="Times New Roman" w:eastAsia="仿宋_GB2312" w:hAnsi="Times New Roman" w:cs="Times New Roman"/>
          <w:sz w:val="32"/>
          <w:szCs w:val="32"/>
        </w:rPr>
        <w:t>的。</w:t>
      </w:r>
    </w:p>
    <w:sectPr w:rsidR="00FF497A" w:rsidRPr="00380F65" w:rsidSect="00382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A93"/>
    <w:multiLevelType w:val="hybridMultilevel"/>
    <w:tmpl w:val="CBFAAD24"/>
    <w:lvl w:ilvl="0" w:tplc="AE9C03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97A"/>
    <w:rsid w:val="000E17A6"/>
    <w:rsid w:val="00140199"/>
    <w:rsid w:val="00186BE0"/>
    <w:rsid w:val="002D11EE"/>
    <w:rsid w:val="002D2E74"/>
    <w:rsid w:val="00337FD5"/>
    <w:rsid w:val="00382BA8"/>
    <w:rsid w:val="004C0F23"/>
    <w:rsid w:val="00576AA5"/>
    <w:rsid w:val="00602205"/>
    <w:rsid w:val="00696D70"/>
    <w:rsid w:val="006D4BB2"/>
    <w:rsid w:val="006D702B"/>
    <w:rsid w:val="00774DB1"/>
    <w:rsid w:val="00877755"/>
    <w:rsid w:val="008B3A66"/>
    <w:rsid w:val="00B56C49"/>
    <w:rsid w:val="00BA58E5"/>
    <w:rsid w:val="00BB5EC9"/>
    <w:rsid w:val="00CB4286"/>
    <w:rsid w:val="00D00937"/>
    <w:rsid w:val="00EA4EDF"/>
    <w:rsid w:val="00F720D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F497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F49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2019-11-21T05:27:00Z</dcterms:created>
  <dcterms:modified xsi:type="dcterms:W3CDTF">2019-11-21T05:29:00Z</dcterms:modified>
</cp:coreProperties>
</file>