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ascii="黑体" w:hAnsi="黑体" w:eastAsia="黑体"/>
          <w:b/>
          <w:color w:val="FF0000"/>
          <w:sz w:val="96"/>
          <w:szCs w:val="96"/>
        </w:rPr>
      </w:pPr>
      <w:r>
        <w:rPr>
          <w:rFonts w:hint="eastAsia" w:ascii="黑体" w:hAnsi="黑体" w:eastAsia="黑体"/>
          <w:b/>
          <w:color w:val="FF0000"/>
          <w:sz w:val="96"/>
          <w:szCs w:val="96"/>
        </w:rPr>
        <w:t>法院工作简报</w:t>
      </w:r>
    </w:p>
    <w:p>
      <w:pPr>
        <w:spacing w:line="60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600" w:lineRule="exact"/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  <w:lang w:eastAsia="zh-CN"/>
        </w:rPr>
        <w:t>二</w:t>
      </w:r>
      <w:r>
        <w:rPr>
          <w:rFonts w:hint="eastAsia"/>
          <w:b/>
          <w:sz w:val="32"/>
          <w:szCs w:val="32"/>
        </w:rPr>
        <w:t>期</w:t>
      </w:r>
    </w:p>
    <w:p>
      <w:pPr>
        <w:spacing w:line="200" w:lineRule="exact"/>
        <w:jc w:val="center"/>
        <w:rPr>
          <w:b/>
          <w:sz w:val="36"/>
          <w:szCs w:val="36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农安县人民法院编</w:t>
      </w:r>
      <w:r>
        <w:rPr>
          <w:b/>
          <w:sz w:val="30"/>
          <w:szCs w:val="30"/>
        </w:rPr>
        <w:t xml:space="preserve">                       201</w:t>
      </w:r>
      <w:r>
        <w:rPr>
          <w:rFonts w:hint="eastAsia"/>
          <w:b/>
          <w:sz w:val="30"/>
          <w:szCs w:val="30"/>
        </w:rPr>
        <w:t>9年1月2</w:t>
      </w:r>
      <w:r>
        <w:rPr>
          <w:rFonts w:hint="eastAsia"/>
          <w:b/>
          <w:sz w:val="30"/>
          <w:szCs w:val="30"/>
          <w:lang w:val="en-US" w:eastAsia="zh-CN"/>
        </w:rPr>
        <w:t>9</w:t>
      </w:r>
      <w:r>
        <w:rPr>
          <w:rFonts w:hint="eastAsia"/>
          <w:b/>
          <w:sz w:val="30"/>
          <w:szCs w:val="30"/>
        </w:rPr>
        <w:t>日</w:t>
      </w: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2540"/>
                <wp:effectExtent l="0" t="17145" r="0" b="1841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54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pt;height:0.2pt;width:414pt;z-index:251658240;mso-width-relative:page;mso-height-relative:page;" filled="f" stroked="t" coordsize="21600,21600" o:gfxdata="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4zsLVtQAAAACAQAADwAAAAAAAAABACAAAAAi&#10;AAAAZHJzL2Rvd25yZXYueG1sUEsBAhQAFAAAAAgAh07iQPD5Xr7VAQAAkQMAAA4AAAAAAAAAAQAg&#10;AAAAIwEAAGRycy9lMm9Eb2MueG1sUEsFBgAAAAAGAAYAWQEAAGoFAAAAAA==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农安法院“加、减、乘、除”四步走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保障促进民营企业健康发展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为深入贯彻习近平总书记关于支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持民营经济发展的重要讲话精神，认真落实《吉林省政法机关依法保障促进民营企业健康发展三十条意见》的要求，近日，农安法院结合审判执行工作实际，制定了《依法保障促进民营企业健康发展的实施办法》，从做好服务保障民营企业的“加法、减法、乘法、除法”四个方面，出台了十七条具体措施，依法维护民营企业和民营企业家合法权益，努力营造法治化、便利化、可预期的营商环境，切实保障和促进民营经济健康发展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一是充分发挥司法职能作用，保护民营企业合法权益，做好保障促进民营企业健康发展的“加”法。</w:t>
      </w:r>
      <w:r>
        <w:rPr>
          <w:rFonts w:hint="eastAsia" w:ascii="楷体_GB2312" w:hAnsi="仿宋" w:eastAsia="楷体_GB2312" w:cs="仿宋"/>
          <w:b/>
          <w:sz w:val="32"/>
          <w:szCs w:val="32"/>
        </w:rPr>
        <w:t>认真做好诉讼服务和指导工作</w:t>
      </w:r>
      <w:r>
        <w:rPr>
          <w:rFonts w:hint="eastAsia" w:ascii="仿宋_GB2312" w:hAnsi="仿宋" w:eastAsia="仿宋_GB2312" w:cs="仿宋"/>
          <w:sz w:val="32"/>
          <w:szCs w:val="32"/>
        </w:rPr>
        <w:t>，发挥诉讼服务中心诉讼指导、非诉引导、司法救助等职能，降低民营企业诉讼成本。</w:t>
      </w:r>
      <w:r>
        <w:rPr>
          <w:rFonts w:hint="eastAsia" w:ascii="楷体_GB2312" w:hAnsi="仿宋" w:eastAsia="楷体_GB2312" w:cs="仿宋"/>
          <w:b/>
          <w:sz w:val="32"/>
          <w:szCs w:val="32"/>
        </w:rPr>
        <w:t>保护民营企业平等市场主体地位，</w:t>
      </w:r>
      <w:r>
        <w:rPr>
          <w:rFonts w:hint="eastAsia" w:ascii="仿宋_GB2312" w:hAnsi="仿宋" w:eastAsia="仿宋_GB2312" w:cs="仿宋"/>
          <w:sz w:val="32"/>
          <w:szCs w:val="32"/>
        </w:rPr>
        <w:t>坚持各类市场主体诉讼地位、法律适用、法律责任平等，维护民营企业合法权益。</w:t>
      </w:r>
      <w:r>
        <w:rPr>
          <w:rFonts w:hint="eastAsia" w:ascii="楷体_GB2312" w:hAnsi="仿宋" w:eastAsia="楷体_GB2312" w:cs="仿宋"/>
          <w:b/>
          <w:sz w:val="32"/>
          <w:szCs w:val="32"/>
        </w:rPr>
        <w:t>严厉打击侵害民营企业合法权益的违法犯罪行为，</w:t>
      </w:r>
      <w:r>
        <w:rPr>
          <w:rFonts w:hint="eastAsia" w:ascii="仿宋_GB2312" w:hAnsi="仿宋" w:eastAsia="仿宋_GB2312" w:cs="仿宋"/>
          <w:sz w:val="32"/>
          <w:szCs w:val="32"/>
        </w:rPr>
        <w:t>保障民营企业的经营自主权，为民营企业的发展创造良好的外部环境。</w:t>
      </w:r>
      <w:r>
        <w:rPr>
          <w:rFonts w:hint="eastAsia" w:ascii="楷体_GB2312" w:hAnsi="仿宋" w:eastAsia="楷体_GB2312" w:cs="仿宋"/>
          <w:b/>
          <w:sz w:val="32"/>
          <w:szCs w:val="32"/>
        </w:rPr>
        <w:t>营造民营企业良好的营商环境，</w:t>
      </w:r>
      <w:r>
        <w:rPr>
          <w:rFonts w:hint="eastAsia" w:ascii="仿宋_GB2312" w:hAnsi="仿宋" w:eastAsia="仿宋_GB2312" w:cs="仿宋"/>
          <w:sz w:val="32"/>
          <w:szCs w:val="32"/>
        </w:rPr>
        <w:t>强化合同无效、企业融资、劳动争议案件的审理，努力解决民营企业发展中遇到的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法律</w:t>
      </w:r>
      <w:r>
        <w:rPr>
          <w:rFonts w:hint="eastAsia" w:ascii="仿宋_GB2312" w:hAnsi="仿宋" w:eastAsia="仿宋_GB2312" w:cs="仿宋"/>
          <w:sz w:val="32"/>
          <w:szCs w:val="32"/>
        </w:rPr>
        <w:t>问题。</w:t>
      </w:r>
      <w:r>
        <w:rPr>
          <w:rFonts w:hint="eastAsia" w:ascii="楷体_GB2312" w:hAnsi="仿宋" w:eastAsia="楷体_GB2312" w:cs="仿宋"/>
          <w:b/>
          <w:sz w:val="32"/>
          <w:szCs w:val="32"/>
        </w:rPr>
        <w:t>加强民营企业破产案件审理工作，</w:t>
      </w:r>
      <w:r>
        <w:rPr>
          <w:rFonts w:hint="eastAsia" w:ascii="仿宋_GB2312" w:hAnsi="仿宋" w:eastAsia="仿宋_GB2312" w:cs="仿宋"/>
          <w:sz w:val="32"/>
          <w:szCs w:val="32"/>
        </w:rPr>
        <w:t>完善破产企业识别机制，及时释放生产要素。</w:t>
      </w:r>
      <w:r>
        <w:rPr>
          <w:rFonts w:hint="eastAsia" w:ascii="楷体_GB2312" w:hAnsi="仿宋" w:eastAsia="楷体_GB2312" w:cs="仿宋"/>
          <w:b/>
          <w:sz w:val="32"/>
          <w:szCs w:val="32"/>
        </w:rPr>
        <w:t>强化判后答疑工作，</w:t>
      </w:r>
      <w:r>
        <w:rPr>
          <w:rFonts w:hint="eastAsia" w:ascii="仿宋_GB2312" w:hAnsi="仿宋" w:eastAsia="仿宋_GB2312" w:cs="仿宋"/>
          <w:sz w:val="32"/>
          <w:szCs w:val="32"/>
        </w:rPr>
        <w:t>消除当事人诉讼疑虑，依法纠正或者引导来访人依法主张权利。</w:t>
      </w:r>
      <w:r>
        <w:rPr>
          <w:rFonts w:hint="eastAsia" w:ascii="楷体_GB2312" w:hAnsi="仿宋" w:eastAsia="楷体_GB2312" w:cs="仿宋"/>
          <w:b/>
          <w:sz w:val="32"/>
          <w:szCs w:val="32"/>
        </w:rPr>
        <w:t>加大涉民营企业生效裁判执行力度，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用好用足强制手段，及时兑现民营企业胜诉权益。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二是精准掌握司法办案标准，减少司法活动负面影响，做好保障促进民营企业健康发展的“减”法。</w:t>
      </w:r>
      <w:r>
        <w:rPr>
          <w:rFonts w:hint="eastAsia" w:ascii="楷体_GB2312" w:hAnsi="仿宋" w:eastAsia="楷体_GB2312" w:cs="仿宋"/>
          <w:b/>
          <w:sz w:val="32"/>
          <w:szCs w:val="32"/>
        </w:rPr>
        <w:t>妥善处理涉民营企业的历史问题</w:t>
      </w:r>
      <w:r>
        <w:rPr>
          <w:rFonts w:hint="eastAsia" w:ascii="仿宋_GB2312" w:hAnsi="仿宋" w:eastAsia="仿宋_GB2312" w:cs="仿宋"/>
          <w:sz w:val="32"/>
          <w:szCs w:val="32"/>
        </w:rPr>
        <w:t>，正确对待民营企业历史上的不规范行为，建立完善涉民营企业及经营者冤假错案甄别纠正常态化工作机制，保障民营企业的可持续发展。</w:t>
      </w:r>
      <w:r>
        <w:rPr>
          <w:rFonts w:hint="eastAsia" w:ascii="楷体_GB2312" w:hAnsi="仿宋" w:eastAsia="楷体_GB2312" w:cs="仿宋"/>
          <w:b/>
          <w:sz w:val="32"/>
          <w:szCs w:val="32"/>
        </w:rPr>
        <w:t>严格执行刑事法律和司法解释，</w:t>
      </w:r>
      <w:r>
        <w:rPr>
          <w:rFonts w:hint="eastAsia" w:ascii="仿宋_GB2312" w:hAnsi="仿宋" w:eastAsia="仿宋_GB2312" w:cs="仿宋"/>
          <w:sz w:val="32"/>
          <w:szCs w:val="32"/>
        </w:rPr>
        <w:t>准确认定经济犯罪与刑事犯罪界限，正确把握涉民营企业案件刑事处罚标准，准确区分涉民营企业案件单位犯罪和个人犯罪，依法准确适用认罪认罚从宽制度，为民营企业发展创造和平稳定的环境。</w:t>
      </w:r>
      <w:r>
        <w:rPr>
          <w:rFonts w:hint="eastAsia" w:ascii="楷体_GB2312" w:hAnsi="仿宋" w:eastAsia="楷体_GB2312" w:cs="仿宋"/>
          <w:b/>
          <w:sz w:val="32"/>
          <w:szCs w:val="32"/>
        </w:rPr>
        <w:t>慎用强制执行措施，</w:t>
      </w:r>
      <w:r>
        <w:rPr>
          <w:rFonts w:hint="eastAsia" w:ascii="仿宋_GB2312" w:hAnsi="仿宋" w:eastAsia="仿宋_GB2312" w:cs="仿宋"/>
          <w:sz w:val="32"/>
          <w:szCs w:val="32"/>
        </w:rPr>
        <w:t>严禁超标的、超范围查封、扣押、冻结，选择对民营企业生产经营活动影响较小的财产进行保全，对有发展前景的困难民营企业涉执案件多做执行和解工作，对已经履行生效裁判文书的民营企业及时移出失信名单，最大限度地减少执行活动对企业正常生产经营的不利影响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三是积极探索工作机制创新，提高涉民营企业案件质效，做好保障促进民营企业健康发展的“乘”法。</w:t>
      </w:r>
      <w:r>
        <w:rPr>
          <w:rFonts w:hint="eastAsia" w:ascii="楷体_GB2312" w:hAnsi="楷体" w:eastAsia="楷体_GB2312" w:cs="楷体"/>
          <w:b/>
          <w:bCs/>
          <w:sz w:val="32"/>
          <w:szCs w:val="32"/>
        </w:rPr>
        <w:t>强化涉民营企业案件的审判监督管理，</w:t>
      </w:r>
      <w:r>
        <w:rPr>
          <w:rFonts w:hint="eastAsia" w:ascii="仿宋_GB2312" w:hAnsi="楷体" w:eastAsia="仿宋_GB2312" w:cs="楷体"/>
          <w:bCs/>
          <w:sz w:val="32"/>
          <w:szCs w:val="32"/>
        </w:rPr>
        <w:t>健全院长督办制度，强化纪律作风专项检查，</w:t>
      </w:r>
      <w:r>
        <w:rPr>
          <w:rFonts w:hint="eastAsia" w:ascii="仿宋_GB2312" w:hAnsi="仿宋" w:eastAsia="仿宋_GB2312" w:cs="仿宋"/>
          <w:sz w:val="32"/>
          <w:szCs w:val="32"/>
        </w:rPr>
        <w:t>严格落实司法责任制，</w:t>
      </w:r>
      <w:r>
        <w:rPr>
          <w:rFonts w:hint="eastAsia" w:ascii="仿宋_GB2312" w:hAnsi="楷体" w:eastAsia="仿宋_GB2312" w:cs="楷体"/>
          <w:bCs/>
          <w:sz w:val="32"/>
          <w:szCs w:val="32"/>
        </w:rPr>
        <w:t>充分发挥专业法官会议、审判委员会、院庭长等方面的监督管理职能作用，公开透明，发挥集体智慧、层层把关作用，形成常态化的审判监督管理运行机制。</w:t>
      </w:r>
      <w:r>
        <w:rPr>
          <w:rFonts w:hint="eastAsia" w:ascii="楷体_GB2312" w:hAnsi="仿宋" w:eastAsia="楷体_GB2312" w:cs="仿宋"/>
          <w:b/>
          <w:sz w:val="32"/>
          <w:szCs w:val="32"/>
        </w:rPr>
        <w:t>加强信息化建设，</w:t>
      </w:r>
      <w:r>
        <w:rPr>
          <w:rFonts w:hint="eastAsia" w:ascii="仿宋_GB2312" w:hAnsi="仿宋" w:eastAsia="仿宋_GB2312" w:cs="仿宋"/>
          <w:sz w:val="32"/>
          <w:szCs w:val="32"/>
        </w:rPr>
        <w:t>依托电子法院、司法公开网站，官方微博、微信等自媒体，推进涉民营企业网上立案、跨域立案、电子送达、视频接访、在线调解，及时公布依法保障民营企业合法权益的典型案例，推动形成企业家健康成长的良好法治环境和社会氛围。</w:t>
      </w:r>
      <w:r>
        <w:rPr>
          <w:rFonts w:hint="eastAsia" w:ascii="楷体_GB2312" w:hAnsi="仿宋" w:eastAsia="楷体_GB2312" w:cs="仿宋"/>
          <w:b/>
          <w:sz w:val="32"/>
          <w:szCs w:val="32"/>
        </w:rPr>
        <w:t>推进繁简分流工作机制改革，</w:t>
      </w:r>
      <w:r>
        <w:rPr>
          <w:rFonts w:hint="eastAsia" w:ascii="仿宋_GB2312" w:hAnsi="仿宋" w:eastAsia="仿宋_GB2312" w:cs="仿宋"/>
          <w:sz w:val="32"/>
          <w:szCs w:val="32"/>
        </w:rPr>
        <w:t>在立案窗口设专人对案件繁简程度进行甄别，对事实清楚、标的额较小、当事人争议不大的涉民营企业案件，尽量通过简易程序、小额诉讼程序、督促程序进行，做到快立、快审、快结、快执。</w:t>
      </w:r>
      <w:r>
        <w:rPr>
          <w:rFonts w:hint="eastAsia" w:ascii="楷体_GB2312" w:hAnsi="仿宋" w:eastAsia="楷体_GB2312" w:cs="仿宋"/>
          <w:b/>
          <w:sz w:val="32"/>
          <w:szCs w:val="32"/>
        </w:rPr>
        <w:t>积极探索涉诉企业收集证据新方式，</w:t>
      </w:r>
      <w:r>
        <w:rPr>
          <w:rFonts w:hint="eastAsia" w:ascii="仿宋_GB2312" w:hAnsi="仿宋" w:eastAsia="仿宋_GB2312" w:cs="仿宋"/>
          <w:sz w:val="32"/>
          <w:szCs w:val="32"/>
        </w:rPr>
        <w:t>涉诉民营企业因为客观原因不能自行调查取证、向法院提出书面申请的，可依法向相关单位、组织和个人调查收集相关证据、调取财产线索。</w:t>
      </w:r>
    </w:p>
    <w:p>
      <w:pPr>
        <w:pBdr>
          <w:bottom w:val="single" w:color="auto" w:sz="6" w:space="1"/>
        </w:pBd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四是加强矛盾纠纷排查化解，强化风险隐患预警防患，做好保障促进民营企业健康发展的“除”法。</w:t>
      </w:r>
      <w:r>
        <w:rPr>
          <w:rFonts w:hint="eastAsia" w:ascii="楷体_GB2312" w:hAnsi="楷体" w:eastAsia="楷体_GB2312" w:cs="楷体"/>
          <w:b/>
          <w:bCs/>
          <w:sz w:val="32"/>
          <w:szCs w:val="32"/>
        </w:rPr>
        <w:t>打造涉民营企业纠纷的多元化解机制，</w:t>
      </w:r>
      <w:r>
        <w:rPr>
          <w:rFonts w:hint="eastAsia" w:ascii="仿宋_GB2312" w:hAnsi="仿宋" w:eastAsia="仿宋_GB2312" w:cs="仿宋"/>
          <w:sz w:val="32"/>
          <w:szCs w:val="32"/>
        </w:rPr>
        <w:t>传承发展“枫桥经验”，强化对涉民营企业的矛盾纠纷排查，对相关民商事纠纷，引导当事人通过行政机关、人民调解组织、行业调解组织、商事调解组织或者其他具有调解职能的组织进行调解，积极运用多元化纠纷解决机制。</w:t>
      </w:r>
      <w:r>
        <w:rPr>
          <w:rFonts w:hint="eastAsia" w:ascii="楷体_GB2312" w:hAnsi="楷体" w:eastAsia="楷体_GB2312" w:cs="楷体"/>
          <w:b/>
          <w:bCs/>
          <w:sz w:val="32"/>
          <w:szCs w:val="32"/>
        </w:rPr>
        <w:t>全面做好普法宣传工作，</w:t>
      </w:r>
      <w:r>
        <w:rPr>
          <w:rFonts w:hint="eastAsia" w:ascii="仿宋_GB2312" w:hAnsi="仿宋" w:eastAsia="仿宋_GB2312" w:cs="仿宋"/>
          <w:sz w:val="32"/>
          <w:szCs w:val="32"/>
        </w:rPr>
        <w:t>认真落实“谁执法谁普法”任务，定期组织法官开展法制宣讲活动，灵活运用法律培训、发放宣传册、邀请旁听庭审等多种形式，引导民营企业认真执行安全生产、规范用工、劳动保障、环境保护等方面的相关规定，促进民营企业遵纪守法、诚实守信、公平竞争。</w:t>
      </w:r>
      <w:r>
        <w:rPr>
          <w:rFonts w:hint="eastAsia" w:ascii="楷体_GB2312" w:hAnsi="楷体" w:eastAsia="楷体_GB2312" w:cs="楷体"/>
          <w:b/>
          <w:bCs/>
          <w:sz w:val="32"/>
          <w:szCs w:val="32"/>
        </w:rPr>
        <w:t>积极发挥司法建议作用，</w:t>
      </w:r>
      <w:r>
        <w:rPr>
          <w:rFonts w:hint="eastAsia" w:ascii="仿宋_GB2312" w:hAnsi="仿宋" w:eastAsia="仿宋_GB2312" w:cs="仿宋"/>
          <w:sz w:val="32"/>
          <w:szCs w:val="32"/>
        </w:rPr>
        <w:t>加强对民营企业涉诉问题的系统性研究和大数据分析，常态性开展金融风险排查和专项整治，建立法律风险提示制度，帮助企业提升经营风险意识和防御风险能力。</w:t>
      </w:r>
    </w:p>
    <w:p>
      <w:pPr>
        <w:pBdr>
          <w:bottom w:val="single" w:color="auto" w:sz="6" w:space="1"/>
        </w:pBd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Bdr>
          <w:bottom w:val="single" w:color="auto" w:sz="6" w:space="1"/>
        </w:pBd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报：市法院、县委、县人大、县政府、县政协、县纪检委、</w:t>
      </w:r>
    </w:p>
    <w:p>
      <w:pPr>
        <w:spacing w:line="500" w:lineRule="exact"/>
        <w:ind w:firstLine="65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县委政法委</w:t>
      </w:r>
    </w:p>
    <w:p>
      <w:pPr>
        <w:spacing w:line="500" w:lineRule="exact"/>
        <w:ind w:left="640" w:hanging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送：县委组织部、宣传部、县直机关党工委、县人大法制办</w:t>
      </w:r>
    </w:p>
    <w:p>
      <w:pPr>
        <w:pBdr>
          <w:bottom w:val="single" w:color="auto" w:sz="6" w:space="1"/>
        </w:pBd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发：本院领导及各部门</w:t>
      </w:r>
    </w:p>
    <w:p>
      <w:pPr>
        <w:spacing w:line="500" w:lineRule="exact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农安县人民法院研究室编发                （共印45份）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8582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10"/>
    <w:rsid w:val="00000B0A"/>
    <w:rsid w:val="00010B0C"/>
    <w:rsid w:val="00091DB3"/>
    <w:rsid w:val="000B5FAC"/>
    <w:rsid w:val="000F688D"/>
    <w:rsid w:val="00114592"/>
    <w:rsid w:val="00183A40"/>
    <w:rsid w:val="001C3A9B"/>
    <w:rsid w:val="001E2B1B"/>
    <w:rsid w:val="001E5773"/>
    <w:rsid w:val="00206BD2"/>
    <w:rsid w:val="002303B0"/>
    <w:rsid w:val="002625B1"/>
    <w:rsid w:val="00296D4E"/>
    <w:rsid w:val="002A1043"/>
    <w:rsid w:val="002D2F4A"/>
    <w:rsid w:val="00300370"/>
    <w:rsid w:val="00302197"/>
    <w:rsid w:val="003373F6"/>
    <w:rsid w:val="0034775F"/>
    <w:rsid w:val="0039400D"/>
    <w:rsid w:val="00417E7D"/>
    <w:rsid w:val="004458C9"/>
    <w:rsid w:val="00495FD5"/>
    <w:rsid w:val="004E7399"/>
    <w:rsid w:val="005E1954"/>
    <w:rsid w:val="0066311B"/>
    <w:rsid w:val="00697B37"/>
    <w:rsid w:val="00722D1F"/>
    <w:rsid w:val="0075661D"/>
    <w:rsid w:val="007D16A4"/>
    <w:rsid w:val="007E2AE3"/>
    <w:rsid w:val="0080368E"/>
    <w:rsid w:val="008165D5"/>
    <w:rsid w:val="008403C8"/>
    <w:rsid w:val="008420A4"/>
    <w:rsid w:val="008709AF"/>
    <w:rsid w:val="00897D2F"/>
    <w:rsid w:val="009325FA"/>
    <w:rsid w:val="00941030"/>
    <w:rsid w:val="009E0090"/>
    <w:rsid w:val="00A03B3F"/>
    <w:rsid w:val="00A06946"/>
    <w:rsid w:val="00A4024B"/>
    <w:rsid w:val="00A52855"/>
    <w:rsid w:val="00A65A2C"/>
    <w:rsid w:val="00AA1C8B"/>
    <w:rsid w:val="00AA5A10"/>
    <w:rsid w:val="00AB1CD9"/>
    <w:rsid w:val="00B7746E"/>
    <w:rsid w:val="00C639D9"/>
    <w:rsid w:val="00D048ED"/>
    <w:rsid w:val="00D306E8"/>
    <w:rsid w:val="00D63159"/>
    <w:rsid w:val="00DB7A13"/>
    <w:rsid w:val="00E93522"/>
    <w:rsid w:val="00EC14E9"/>
    <w:rsid w:val="00F95484"/>
    <w:rsid w:val="00FC0C78"/>
    <w:rsid w:val="00FD3092"/>
    <w:rsid w:val="6F2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标题 Char"/>
    <w:basedOn w:val="6"/>
    <w:link w:val="4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800</Characters>
  <Lines>6</Lines>
  <Paragraphs>1</Paragraphs>
  <TotalTime>8</TotalTime>
  <ScaleCrop>false</ScaleCrop>
  <LinksUpToDate>false</LinksUpToDate>
  <CharactersWithSpaces>939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2019-01-28T06:36:00Z</dcterms:created>
  <dc:creator>Lenovo</dc:creator>
  <cp:lastModifiedBy>a    `b~</cp:lastModifiedBy>
  <cp:lastPrinted>2019-01-29T02:51:03Z</cp:lastPrinted>
  <dcterms:modified xsi:type="dcterms:W3CDTF">2019-01-29T03:06:03Z</dcterms:modified>
  <dc:title>法院工作简报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